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ntTable.xml" ContentType="application/vnd.openxmlformats-officedocument.wordprocessingml.fontTable+xml"/>
  <Override PartName="/word/footnotes.xml" ContentType="application/vnd.openxmlformats-officedocument.wordprocessingml.footnotes+xml"/>
  <Override PartName="/word/footer1.xml" ContentType="application/vnd.openxmlformats-officedocument.wordprocessingml.footer+xml"/>
  <Override PartName="/word/header3.xml" ContentType="application/vnd.openxmlformats-officedocument.wordprocessingml.header+xml"/>
  <Override PartName="/word/settings.xml" ContentType="application/vnd.openxmlformats-officedocument.wordprocessingml.settings+xml"/>
  <Override PartName="/word/footer3.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document.xml" ContentType="application/vnd.openxmlformats-officedocument.wordprocessingml.document.main+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 xml:space="preserve">ĐƠN ĐĂNG KÝ NGUYỆN VỌNG </w:t>
      </w:r>
    </w:p>
    <w:p>
      <w:pPr>
        <w:pStyle w:val="Default"/>
        <w:jc w:val="center"/>
        <w:rPr>
          <w:color w:themeColor="text1" w:val="000000"/>
        </w:rPr>
      </w:pPr>
      <w:r>
        <w:rPr>
          <w:color w:themeColor="text1" w:val="000000"/>
        </w:rPr>
        <w:t>Số: [trans_code]/UTOPIA/ĐKNV</w:t>
      </w:r>
    </w:p>
    <w:p>
      <w:pPr>
        <w:pStyle w:val="Default"/>
        <w:jc w:val="center"/>
        <w:rPr>
          <w:b/>
          <w:color w:themeColor="text1" w:val="000000"/>
        </w:rPr>
      </w:pPr>
      <w:r>
        <w:rPr>
          <w:b/>
          <w:color w:themeColor="text1" w:val="000000"/>
        </w:rPr>
      </w:r>
    </w:p>
    <w:p>
      <w:pPr>
        <w:pStyle w:val="Default"/>
        <w:jc w:val="center"/>
        <w:rPr>
          <w:b/>
          <w:bCs/>
          <w:color w:themeColor="text1" w:val="000000"/>
          <w:spacing w:val="-2"/>
          <w:shd w:fill="FFFFFF" w:val="clear"/>
        </w:rPr>
      </w:pPr>
      <w:r>
        <w:rPr>
          <w:b/>
          <w:bCs/>
          <w:color w:themeColor="text1" w:val="000000"/>
        </w:rPr>
        <w:t xml:space="preserve">Kính gửi: </w:t>
      </w:r>
      <w:r>
        <w:rPr>
          <w:color w:themeColor="text1" w:val="000000"/>
        </w:rPr>
        <w:t>[customer_name]</w:t>
      </w:r>
    </w:p>
    <w:p>
      <w:pPr>
        <w:pStyle w:val="Default"/>
        <w:jc w:val="center"/>
        <w:rPr>
          <w:b/>
          <w:bCs/>
          <w:color w:themeColor="text1" w:val="000000"/>
          <w:spacing w:val="-2"/>
          <w:shd w:fill="FFFFFF" w:val="clear"/>
        </w:rPr>
      </w:pPr>
      <w:r>
        <w:rPr>
          <w:b/>
          <w:bCs/>
          <w:color w:themeColor="text1" w:val="000000"/>
          <w:spacing w:val="-2"/>
          <w:shd w:fill="FFFFFF" w:val="clear"/>
        </w:rPr>
      </w:r>
    </w:p>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t>THÔNG TIN BÊN ĐĂNG KÝ:</w:t>
      </w:r>
    </w:p>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b/>
                <w:szCs w:val="24"/>
              </w:rPr>
            </w:pPr>
            <w:r>
              <w:rPr>
                <w:b/>
                <w:szCs w:val="24"/>
              </w:rPr>
              <w:t>ÔNG/BÀ</w:t>
            </w:r>
          </w:p>
        </w:tc>
        <w:tc>
          <w:tcPr>
            <w:tcW w:w="283" w:type="dxa"/>
            <w:tcBorders/>
          </w:tcPr>
          <w:p>
            <w:pPr>
              <w:pStyle w:val="Normal"/>
              <w:spacing w:before="0" w:after="0"/>
              <w:ind w:right="-187"/>
              <w:rPr>
                <w:bCs w:val="false"/>
                <w:szCs w:val="24"/>
              </w:rPr>
            </w:pPr>
            <w:r>
              <w:rPr>
                <w:bCs w:val="false"/>
                <w:szCs w:val="24"/>
              </w:rPr>
              <w:t>:</w:t>
            </w:r>
          </w:p>
        </w:tc>
        <w:tc>
          <w:tcPr>
            <w:tcW w:w="5369" w:type="dxa"/>
            <w:tcBorders/>
          </w:tcPr>
          <w:p>
            <w:pPr>
              <w:pStyle w:val="Normal"/>
              <w:spacing w:before="0" w:after="0"/>
              <w:ind w:right="-187"/>
              <w:rPr>
                <w:b/>
                <w:bCs w:val="false"/>
                <w:szCs w:val="24"/>
              </w:rPr>
            </w:pPr>
            <w:r>
              <w:rPr>
                <w:rFonts w:eastAsia="Arial"/>
                <w:szCs w:val="24"/>
              </w:rPr>
              <w:t>[customer_name]</w:t>
            </w:r>
          </w:p>
        </w:tc>
      </w:tr>
      <w:tr>
        <w:trPr>
          <w:trHeight w:val="377" w:hRule="atLeast"/>
        </w:trPr>
        <w:tc>
          <w:tcPr>
            <w:tcW w:w="3780" w:type="dxa"/>
            <w:tcBorders/>
          </w:tcPr>
          <w:p>
            <w:pPr>
              <w:pStyle w:val="Normal"/>
              <w:spacing w:before="0" w:after="0"/>
              <w:ind w:right="154"/>
              <w:rPr>
                <w:szCs w:val="24"/>
              </w:rPr>
            </w:pPr>
            <w:r>
              <w:rPr>
                <w:bCs w:val="false"/>
                <w:szCs w:val="24"/>
              </w:rPr>
              <w:t>Chứng minh nhân dân/Căn cước công dân/Hộ chiếu số</w:t>
            </w:r>
          </w:p>
        </w:tc>
        <w:tc>
          <w:tcPr>
            <w:tcW w:w="283" w:type="dxa"/>
            <w:tcBorders/>
          </w:tcPr>
          <w:p>
            <w:pPr>
              <w:pStyle w:val="Normal"/>
              <w:spacing w:before="0" w:after="0"/>
              <w:ind w:right="-187"/>
              <w:rPr>
                <w:bCs w:val="false"/>
                <w:szCs w:val="24"/>
              </w:rPr>
            </w:pPr>
            <w:r>
              <w:rPr>
                <w:bCs w:val="false"/>
                <w:szCs w:val="24"/>
              </w:rPr>
              <w:t>:</w:t>
            </w:r>
          </w:p>
        </w:tc>
        <w:tc>
          <w:tcPr>
            <w:tcW w:w="5369" w:type="dxa"/>
            <w:tcBorders/>
          </w:tcPr>
          <w:p>
            <w:pPr>
              <w:pStyle w:val="Normal"/>
              <w:spacing w:before="0" w:after="0"/>
              <w:ind w:right="-18"/>
              <w:rPr>
                <w:bCs w:val="false"/>
                <w:szCs w:val="24"/>
              </w:rPr>
            </w:pPr>
            <w:r>
              <w:rPr>
                <w:rFonts w:eastAsia="Arial"/>
                <w:szCs w:val="24"/>
              </w:rPr>
              <w:t>[customer_legal_code]</w:t>
            </w:r>
          </w:p>
        </w:tc>
      </w:tr>
      <w:tr>
        <w:trPr>
          <w:trHeight w:val="350" w:hRule="atLeast"/>
        </w:trPr>
        <w:tc>
          <w:tcPr>
            <w:tcW w:w="3780" w:type="dxa"/>
            <w:tcBorders/>
          </w:tcPr>
          <w:p>
            <w:pPr>
              <w:pStyle w:val="Normal"/>
              <w:spacing w:before="0" w:after="0"/>
              <w:ind w:right="-187"/>
              <w:rPr>
                <w:bCs w:val="false"/>
                <w:szCs w:val="24"/>
              </w:rPr>
            </w:pPr>
            <w:r>
              <w:rPr>
                <w:bCs w:val="false"/>
                <w:szCs w:val="24"/>
              </w:rPr>
              <w:t>Địa chỉ thường trú</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2"/>
              <w:rPr>
                <w:b/>
                <w:bCs w:val="false"/>
                <w:szCs w:val="24"/>
              </w:rPr>
            </w:pPr>
            <w:r>
              <w:rPr>
                <w:rFonts w:eastAsia="Arial"/>
                <w:szCs w:val="24"/>
              </w:rPr>
              <w:t>[customer_address]</w:t>
            </w:r>
          </w:p>
        </w:tc>
      </w:tr>
      <w:tr>
        <w:trPr>
          <w:trHeight w:val="359" w:hRule="atLeast"/>
        </w:trPr>
        <w:tc>
          <w:tcPr>
            <w:tcW w:w="3780" w:type="dxa"/>
            <w:tcBorders/>
          </w:tcPr>
          <w:p>
            <w:pPr>
              <w:pStyle w:val="Normal"/>
              <w:spacing w:before="0" w:after="0"/>
              <w:rPr>
                <w:bCs w:val="false"/>
                <w:szCs w:val="24"/>
              </w:rPr>
            </w:pPr>
            <w:r>
              <w:rPr>
                <w:bCs w:val="false"/>
                <w:szCs w:val="24"/>
              </w:rPr>
              <w:t>Địa chỉ liên hệ</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2"/>
              <w:rPr>
                <w:b/>
                <w:bCs w:val="false"/>
                <w:szCs w:val="24"/>
              </w:rPr>
            </w:pPr>
            <w:r>
              <w:rPr>
                <w:rFonts w:eastAsia="Arial"/>
                <w:szCs w:val="24"/>
              </w:rPr>
              <w:t>[customer_contact_address]</w:t>
            </w:r>
          </w:p>
        </w:tc>
      </w:tr>
      <w:tr>
        <w:trPr>
          <w:trHeight w:val="377" w:hRule="atLeast"/>
        </w:trPr>
        <w:tc>
          <w:tcPr>
            <w:tcW w:w="3780" w:type="dxa"/>
            <w:tcBorders/>
          </w:tcPr>
          <w:p>
            <w:pPr>
              <w:pStyle w:val="Normal"/>
              <w:spacing w:before="0" w:after="0"/>
              <w:ind w:right="154"/>
              <w:rPr>
                <w:bCs w:val="false"/>
                <w:szCs w:val="24"/>
              </w:rPr>
            </w:pPr>
            <w:r>
              <w:rPr>
                <w:bCs w:val="false"/>
                <w:szCs w:val="24"/>
              </w:rPr>
              <w:t>Điện thoại</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87"/>
              <w:rPr>
                <w:b/>
                <w:bCs w:val="false"/>
                <w:szCs w:val="24"/>
              </w:rPr>
            </w:pPr>
            <w:r>
              <w:rPr>
                <w:szCs w:val="24"/>
              </w:rPr>
              <w:t>[customer_phone]</w:t>
            </w:r>
          </w:p>
        </w:tc>
      </w:tr>
      <w:tr>
        <w:trPr>
          <w:trHeight w:val="377" w:hRule="atLeast"/>
        </w:trPr>
        <w:tc>
          <w:tcPr>
            <w:tcW w:w="3780" w:type="dxa"/>
            <w:tcBorders/>
          </w:tcPr>
          <w:p>
            <w:pPr>
              <w:pStyle w:val="Normal"/>
              <w:spacing w:before="0" w:after="0"/>
              <w:ind w:right="154"/>
              <w:rPr>
                <w:bCs w:val="false"/>
                <w:szCs w:val="24"/>
              </w:rPr>
            </w:pPr>
            <w:r>
              <w:rPr>
                <w:bCs w:val="false"/>
                <w:szCs w:val="24"/>
              </w:rPr>
              <w:t>Email</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87"/>
              <w:rPr>
                <w:b/>
                <w:bCs w:val="false"/>
                <w:szCs w:val="24"/>
              </w:rPr>
            </w:pPr>
            <w:r>
              <w:rPr>
                <w:szCs w:val="24"/>
              </w:rPr>
              <w:t>[customer_email]</w:t>
            </w:r>
          </w:p>
        </w:tc>
      </w:tr>
    </w:tbl>
    <w:p>
      <w:pPr>
        <w:pStyle w:val="Default"/>
        <w:spacing w:lineRule="auto" w:line="288" w:before="120" w:after="120"/>
        <w:jc w:val="both"/>
        <w:rPr>
          <w:color w:themeColor="text1" w:val="000000"/>
        </w:rPr>
      </w:pPr>
      <w:r>
        <w:rPr>
          <w:color w:themeColor="text1" w:val="000000"/>
        </w:rPr>
        <w:t xml:space="preserve">Sau khi tìm </w:t>
      </w:r>
      <w:bookmarkStart w:id="0" w:name="_Hlk134038208"/>
      <w:r>
        <w:rPr>
          <w:color w:themeColor="text1" w:val="000000"/>
        </w:rPr>
        <w:t>hiểu đầy đủ thông tin về</w:t>
      </w:r>
      <w:r>
        <w:rPr>
          <w:bCs/>
          <w:color w:themeColor="text1" w:val="000000"/>
          <w:lang w:val="pt-BR"/>
        </w:rPr>
        <w:t xml:space="preserve"> </w:t>
      </w:r>
      <w:r>
        <w:rPr>
          <w:color w:themeColor="text1" w:val="000000"/>
        </w:rPr>
        <w:t>Dự án Làng Đá Bạc (hoặc tên gọi khác theo quyết định của Chủ Đầu Tư hoặc cơ quan có thẩm quyền tại từng thời điểm), có địa chỉ tại xã Phú Thành, huyện Lạc Thủy, tỉnh Hoà Bình (nay là xã An Nghĩa, tỉnh Phú Thọ) (</w:t>
      </w:r>
      <w:bookmarkEnd w:id="0"/>
      <w:r>
        <w:rPr>
          <w:b/>
          <w:color w:themeColor="text1" w:val="000000"/>
        </w:rPr>
        <w:t>“Dự Án”</w:t>
      </w:r>
      <w:r>
        <w:rPr>
          <w:color w:themeColor="text1" w:val="000000"/>
        </w:rPr>
        <w:t xml:space="preserve">) do Công ty </w:t>
      </w:r>
      <w:r>
        <w:rPr>
          <w:iCs/>
          <w:color w:themeColor="text1" w:val="000000"/>
        </w:rPr>
        <w:t>Cổ phần Phát triển hạ tầng Phú Thành</w:t>
      </w:r>
      <w:r>
        <w:rPr>
          <w:color w:themeColor="text1" w:val="000000"/>
        </w:rPr>
        <w:t xml:space="preserve"> làm chủ đầu tư (“</w:t>
      </w:r>
      <w:r>
        <w:rPr>
          <w:b/>
          <w:color w:themeColor="text1" w:val="000000"/>
        </w:rPr>
        <w:t>Chủ Đầu Tư</w:t>
      </w:r>
      <w:r>
        <w:rPr>
          <w:color w:themeColor="text1" w:val="000000"/>
        </w:rPr>
        <w:t xml:space="preserve">”), </w:t>
      </w:r>
      <w:r>
        <w:rPr>
          <w:rFonts w:eastAsia="Calibri"/>
          <w:color w:themeColor="text1" w:val="000000"/>
        </w:rPr>
        <w:t>(để làm rõ, Tôi/Chúng tôi hiểu rõ và đồng ý rằng Chủ Đầu Tư được hiểu bao gồm cả tổ chức nhận kế thừa/chuyển giao trên cơ sở chuyển nhượng Dự Án hoặc tổ chức</w:t>
      </w:r>
      <w:r>
        <w:rPr>
          <w:rFonts w:eastAsia="Calibri"/>
          <w:iCs/>
          <w:color w:themeColor="text1" w:val="000000"/>
        </w:rPr>
        <w:t>,</w:t>
      </w:r>
      <w:r>
        <w:rPr>
          <w:rFonts w:eastAsia="Calibri"/>
          <w:color w:themeColor="text1" w:val="000000"/>
        </w:rPr>
        <w:t xml:space="preserve"> cơ cấu lại </w:t>
      </w:r>
      <w:r>
        <w:rPr>
          <w:rFonts w:eastAsia="Calibri"/>
          <w:iCs/>
          <w:color w:themeColor="text1" w:val="000000"/>
        </w:rPr>
        <w:t>công ty (</w:t>
      </w:r>
      <w:r>
        <w:rPr>
          <w:rFonts w:eastAsia="Calibri"/>
          <w:color w:themeColor="text1" w:val="000000"/>
        </w:rPr>
        <w:t>chia, tách, hợp nhất, sáp nhập</w:t>
      </w:r>
      <w:r>
        <w:rPr>
          <w:rFonts w:eastAsia="Calibri"/>
          <w:iCs/>
          <w:color w:themeColor="text1" w:val="000000"/>
        </w:rPr>
        <w:t>)</w:t>
      </w:r>
      <w:r>
        <w:rPr>
          <w:rFonts w:eastAsia="Calibri"/>
          <w:color w:themeColor="text1" w:val="000000"/>
        </w:rPr>
        <w:t xml:space="preserve"> hoặc hình thức khác theo quy định của pháp luật Việt Nam), </w:t>
      </w:r>
      <w:r>
        <w:rPr>
          <w:color w:themeColor="text1" w:val="000000"/>
        </w:rPr>
        <w:t xml:space="preserve">Tôi/Chúng tôi có nguyện vọng được tham gia đăng ký chọn mua Bất Động Sản tại Dự Án (sau đây gọi là </w:t>
      </w:r>
      <w:r>
        <w:rPr>
          <w:b/>
          <w:bCs/>
          <w:color w:themeColor="text1" w:val="000000"/>
        </w:rPr>
        <w:t>“Bất Động Sản”</w:t>
      </w:r>
      <w:r>
        <w:rPr>
          <w:color w:themeColor="text1" w:val="000000"/>
        </w:rPr>
        <w:t xml:space="preserve">) ngay sau khi Bất Động Sản đủ điều kiện đưa vào kinh doanh theo quy định của pháp luật với nội dung cụ thể như sau: </w:t>
      </w:r>
    </w:p>
    <w:p>
      <w:pPr>
        <w:pStyle w:val="Default"/>
        <w:numPr>
          <w:ilvl w:val="0"/>
          <w:numId w:val="2"/>
        </w:numPr>
        <w:spacing w:lineRule="auto" w:line="288" w:before="120" w:after="120"/>
        <w:ind w:hanging="540" w:left="540"/>
        <w:rPr>
          <w:color w:themeColor="text1" w:val="000000"/>
        </w:rPr>
      </w:pPr>
      <w:r>
        <w:rPr>
          <w:b/>
          <w:bCs/>
          <w:color w:themeColor="text1" w:val="000000"/>
        </w:rPr>
        <w:t>Nguyện vọng đăng ký:</w:t>
      </w:r>
    </w:p>
    <w:p>
      <w:pPr>
        <w:pStyle w:val="Default"/>
        <w:numPr>
          <w:ilvl w:val="0"/>
          <w:numId w:val="3"/>
        </w:numPr>
        <w:spacing w:lineRule="auto" w:line="288" w:before="120" w:after="120"/>
        <w:ind w:hanging="540" w:left="540"/>
        <w:jc w:val="both"/>
        <w:rPr>
          <w:bCs/>
          <w:color w:themeColor="text1" w:val="000000"/>
        </w:rPr>
      </w:pPr>
      <w:r>
        <w:rPr>
          <w:bCs/>
          <w:color w:themeColor="text1" w:val="000000"/>
        </w:rPr>
        <w:t>Thông tin Bất Động Sản:</w:t>
      </w:r>
    </w:p>
    <w:tbl>
      <w:tblPr>
        <w:tblW w:w="8821" w:type="dxa"/>
        <w:jc w:val="left"/>
        <w:tblInd w:w="534" w:type="dxa"/>
        <w:tblLayout w:type="fixed"/>
        <w:tblCellMar>
          <w:top w:w="0" w:type="dxa"/>
          <w:left w:w="108" w:type="dxa"/>
          <w:bottom w:w="0" w:type="dxa"/>
          <w:right w:w="108" w:type="dxa"/>
        </w:tblCellMar>
        <w:tblLook w:val="0000" w:noHBand="0" w:noVBand="0" w:firstColumn="0" w:lastRow="0" w:lastColumn="0" w:firstRow="0"/>
      </w:tblPr>
      <w:tblGrid>
        <w:gridCol w:w="3343"/>
        <w:gridCol w:w="233"/>
        <w:gridCol w:w="5245"/>
      </w:tblGrid>
      <w:tr>
        <w:trPr>
          <w:trHeight w:val="1" w:hRule="atLeast"/>
        </w:trPr>
        <w:tc>
          <w:tcPr>
            <w:tcW w:w="334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color w:themeColor="text1" w:val="000000"/>
              </w:rPr>
            </w:pPr>
            <w:r>
              <w:rPr>
                <w:bCs/>
                <w:color w:themeColor="text1" w:val="000000"/>
              </w:rPr>
              <w:t>Mã Bất Động Sản</w:t>
            </w:r>
          </w:p>
        </w:tc>
        <w:tc>
          <w:tcPr>
            <w:tcW w:w="23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
                <w:bCs/>
                <w:color w:themeColor="text1" w:val="000000"/>
              </w:rPr>
            </w:pPr>
            <w:r>
              <w:rPr/>
              <w:t>[</w:t>
            </w:r>
            <w:r>
              <w:rPr>
                <w:color w:themeColor="text1" w:val="000000"/>
              </w:rPr>
              <w:t>prod_trade_code</w:t>
            </w:r>
            <w:r>
              <w:rPr/>
              <w:t>]</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i/>
                <w:i/>
                <w:color w:themeColor="text1" w:val="000000"/>
              </w:rPr>
            </w:pPr>
            <w:r>
              <w:rPr>
                <w:bCs/>
                <w:color w:themeColor="text1" w:val="000000"/>
              </w:rPr>
              <w:t>Diện tích đất (tạm tính)</w:t>
            </w:r>
          </w:p>
        </w:tc>
        <w:tc>
          <w:tcPr>
            <w:tcW w:w="23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Default"/>
              <w:spacing w:lineRule="auto" w:line="288"/>
              <w:ind w:left="539"/>
              <w:jc w:val="both"/>
              <w:rPr>
                <w:bCs/>
                <w:color w:themeColor="text1" w:val="000000"/>
                <w:vertAlign w:val="superscript"/>
              </w:rPr>
            </w:pPr>
            <w:r>
              <w:rPr>
                <w:color w:themeColor="text1" w:val="000000"/>
              </w:rPr>
              <w:t>[prod_</w:t>
            </w:r>
            <w:r>
              <w:rPr/>
              <w:t>lot_area</w:t>
            </w:r>
            <w:r>
              <w:rPr>
                <w:color w:themeColor="text1" w:val="000000"/>
              </w:rPr>
              <w:t>]</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color w:themeColor="text1" w:val="000000"/>
              </w:rPr>
            </w:pPr>
            <w:r>
              <w:rPr>
                <w:bCs/>
                <w:color w:themeColor="text1" w:val="000000"/>
              </w:rPr>
              <w:t>Diện tích sàn xây dựng (tạm tính)</w:t>
            </w:r>
            <w:r>
              <w:rPr>
                <w:rStyle w:val="FootnoteReference"/>
                <w:bCs/>
                <w:color w:themeColor="text1" w:val="000000"/>
              </w:rPr>
              <w:footnoteReference w:id="2"/>
            </w:r>
          </w:p>
        </w:tc>
        <w:tc>
          <w:tcPr>
            <w:tcW w:w="23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color w:themeColor="text1" w:val="000000"/>
              </w:rPr>
            </w:pPr>
            <w:r>
              <w:rPr>
                <w:bCs/>
                <w:color w:themeColor="text1" w:val="000000"/>
              </w:rPr>
            </w:r>
          </w:p>
        </w:tc>
        <w:tc>
          <w:tcPr>
            <w:tcW w:w="52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Default"/>
              <w:spacing w:lineRule="auto" w:line="288"/>
              <w:ind w:left="539"/>
              <w:jc w:val="both"/>
              <w:rPr>
                <w:color w:themeColor="text1" w:val="000000"/>
              </w:rPr>
            </w:pPr>
            <w:r>
              <w:rPr>
                <w:color w:themeColor="text1" w:val="000000"/>
              </w:rPr>
              <w:t>[prod_</w:t>
            </w:r>
            <w:r>
              <w:rPr/>
              <w:t>building_area</w:t>
            </w:r>
            <w:r>
              <w:rPr>
                <w:color w:themeColor="text1" w:val="000000"/>
              </w:rPr>
              <w:t>]</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color w:themeColor="text1" w:val="000000"/>
              </w:rPr>
            </w:pPr>
            <w:r>
              <w:rPr>
                <w:bCs/>
                <w:color w:themeColor="text1" w:val="000000"/>
              </w:rPr>
              <w:t>Hình thức nhận bàn giao</w:t>
            </w:r>
          </w:p>
        </w:tc>
        <w:tc>
          <w:tcPr>
            <w:tcW w:w="23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Default"/>
              <w:spacing w:lineRule="auto" w:line="288"/>
              <w:ind w:left="539"/>
              <w:jc w:val="both"/>
              <w:rPr>
                <w:bCs/>
                <w:color w:themeColor="text1" w:val="000000"/>
              </w:rPr>
            </w:pPr>
            <w:r>
              <w:rPr>
                <w:bCs/>
                <w:color w:themeColor="text1" w:val="000000"/>
              </w:rPr>
            </w:r>
          </w:p>
        </w:tc>
      </w:tr>
    </w:tbl>
    <w:p>
      <w:pPr>
        <w:pStyle w:val="Default"/>
        <w:spacing w:lineRule="auto" w:line="288" w:before="120" w:after="120"/>
        <w:ind w:left="539"/>
        <w:jc w:val="both"/>
        <w:rPr>
          <w:bCs/>
          <w:i/>
          <w:i/>
          <w:color w:themeColor="text1" w:val="000000"/>
        </w:rPr>
      </w:pPr>
      <w:r>
        <w:rPr>
          <w:bCs/>
          <w:i/>
          <w:color w:themeColor="text1" w:val="000000"/>
        </w:rPr>
        <w:t>Ghi chú: Mã Bất Động Sản nêu trên có thể được Chủ Đầu Tư điều chỉnh</w:t>
      </w:r>
      <w:r>
        <w:rPr>
          <w:i/>
          <w:color w:themeColor="text1" w:val="000000"/>
        </w:rPr>
        <w:t xml:space="preserve"> theo yêu cầu, quyết định của cơ quan nhà nước có thẩm quyền và/hoặc theo hồ sơ Dự Án tuỳ từng thời điểm. </w:t>
      </w:r>
    </w:p>
    <w:p>
      <w:pPr>
        <w:pStyle w:val="Default"/>
        <w:numPr>
          <w:ilvl w:val="0"/>
          <w:numId w:val="3"/>
        </w:numPr>
        <w:spacing w:lineRule="auto" w:line="288" w:before="120" w:after="120"/>
        <w:ind w:hanging="540" w:left="539"/>
        <w:jc w:val="both"/>
        <w:rPr>
          <w:bCs/>
          <w:color w:themeColor="text1" w:val="000000"/>
        </w:rPr>
      </w:pPr>
      <w:r>
        <w:rPr>
          <w:bCs/>
          <w:color w:themeColor="text1" w:val="000000"/>
        </w:rPr>
        <w:t>Vay vốn Ngân hàng:</w:t>
      </w:r>
    </w:p>
    <w:tbl>
      <w:tblPr>
        <w:tblW w:w="8793" w:type="dxa"/>
        <w:jc w:val="left"/>
        <w:tblInd w:w="562" w:type="dxa"/>
        <w:tblLayout w:type="fixed"/>
        <w:tblCellMar>
          <w:top w:w="0" w:type="dxa"/>
          <w:left w:w="108" w:type="dxa"/>
          <w:bottom w:w="0" w:type="dxa"/>
          <w:right w:w="108" w:type="dxa"/>
        </w:tblCellMar>
        <w:tblLook w:val="04a0" w:noHBand="0" w:noVBand="1" w:firstColumn="1" w:lastRow="0" w:lastColumn="0" w:firstRow="1"/>
      </w:tblPr>
      <w:tblGrid>
        <w:gridCol w:w="5035"/>
        <w:gridCol w:w="3757"/>
      </w:tblGrid>
      <w:tr>
        <w:trPr>
          <w:trHeight w:val="467" w:hRule="atLeast"/>
        </w:trPr>
        <w:tc>
          <w:tcPr>
            <w:tcW w:w="5035"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NỘI DUNG</w:t>
            </w:r>
          </w:p>
        </w:tc>
        <w:tc>
          <w:tcPr>
            <w:tcW w:w="3757"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ĐĂNG KÝ</w:t>
            </w:r>
          </w:p>
        </w:tc>
      </w:tr>
      <w:tr>
        <w:trPr>
          <w:trHeight w:val="255" w:hRule="atLeast"/>
        </w:trPr>
        <w:tc>
          <w:tcPr>
            <w:tcW w:w="5035"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993" w:leader="none"/>
              </w:tabs>
              <w:spacing w:lineRule="auto" w:line="288" w:before="0" w:after="0"/>
              <w:jc w:val="both"/>
              <w:rPr>
                <w:rFonts w:ascii="Times New Roman" w:hAnsi="Times New Roman"/>
                <w:color w:themeColor="text1" w:val="000000"/>
                <w:sz w:val="24"/>
                <w:szCs w:val="24"/>
              </w:rPr>
            </w:pPr>
            <w:r>
              <w:rPr>
                <w:rFonts w:ascii="Times New Roman" w:hAnsi="Times New Roman"/>
                <w:color w:themeColor="text1" w:val="000000"/>
                <w:sz w:val="24"/>
                <w:szCs w:val="24"/>
              </w:rPr>
              <w:t>Tham gia chương trình vay vốn Ngân hàng để thanh toán theo chính sách của Công ty và Chủ Đầu Tư.</w:t>
            </w:r>
          </w:p>
        </w:tc>
        <w:tc>
          <w:tcPr>
            <w:tcW w:w="3757"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10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CÓ</w:t>
            </w:r>
          </w:p>
          <w:p>
            <w:pPr>
              <w:pStyle w:val="Normal"/>
              <w:tabs>
                <w:tab w:val="clear" w:pos="720"/>
                <w:tab w:val="left" w:pos="9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KHÔNG</w:t>
            </w:r>
          </w:p>
          <w:p>
            <w:pPr>
              <w:pStyle w:val="Normal"/>
              <w:tabs>
                <w:tab w:val="clear" w:pos="720"/>
                <w:tab w:val="left" w:pos="993" w:leader="none"/>
              </w:tabs>
              <w:spacing w:lineRule="auto" w:line="288" w:before="0" w:after="0"/>
              <w:jc w:val="center"/>
              <w:rPr>
                <w:rFonts w:ascii="Times New Roman" w:hAnsi="Times New Roman"/>
                <w:color w:themeColor="text1" w:val="000000"/>
                <w:sz w:val="24"/>
                <w:szCs w:val="24"/>
              </w:rPr>
            </w:pPr>
            <w:r>
              <w:rPr>
                <w:rFonts w:ascii="Times New Roman" w:hAnsi="Times New Roman"/>
                <w:color w:themeColor="text1" w:val="000000"/>
                <w:sz w:val="24"/>
                <w:szCs w:val="24"/>
              </w:rPr>
            </w:r>
          </w:p>
        </w:tc>
      </w:tr>
    </w:tbl>
    <w:p>
      <w:pPr>
        <w:pStyle w:val="Default"/>
        <w:numPr>
          <w:ilvl w:val="0"/>
          <w:numId w:val="2"/>
        </w:numPr>
        <w:spacing w:lineRule="auto" w:line="288" w:before="120" w:after="120"/>
        <w:ind w:hanging="547" w:left="547"/>
        <w:jc w:val="both"/>
        <w:rPr>
          <w:b/>
          <w:bCs/>
          <w:color w:themeColor="text1" w:val="000000"/>
        </w:rPr>
      </w:pPr>
      <w:r>
        <w:rPr>
          <w:b/>
          <w:bCs/>
          <w:color w:themeColor="text1" w:val="000000"/>
        </w:rPr>
        <w:t>Xác nhận và cam kết của Bên Đăng Ký:</w:t>
      </w:r>
    </w:p>
    <w:p>
      <w:pPr>
        <w:pStyle w:val="ListParagraph"/>
        <w:numPr>
          <w:ilvl w:val="0"/>
          <w:numId w:val="4"/>
        </w:numPr>
        <w:spacing w:lineRule="auto" w:line="288" w:before="120" w:after="120"/>
        <w:ind w:hanging="567" w:left="567"/>
        <w:contextualSpacing/>
        <w:jc w:val="both"/>
        <w:rPr>
          <w:rFonts w:ascii="Times New Roman" w:hAnsi="Times New Roman" w:eastAsia="Times New Roman"/>
          <w:b/>
          <w:bCs/>
          <w:color w:themeColor="text1" w:val="000000"/>
          <w:sz w:val="24"/>
          <w:szCs w:val="24"/>
        </w:rPr>
      </w:pPr>
      <w:r>
        <w:rPr>
          <w:rFonts w:eastAsia="Times New Roman" w:ascii="Times New Roman" w:hAnsi="Times New Roman"/>
          <w:b/>
          <w:bCs/>
          <w:color w:themeColor="text1" w:val="000000"/>
          <w:sz w:val="24"/>
          <w:szCs w:val="24"/>
        </w:rPr>
        <w:t>Nguyện vọng nêu tại Điều 1 được căn cứ vào các thông tin sau:</w:t>
      </w:r>
    </w:p>
    <w:p>
      <w:pPr>
        <w:pStyle w:val="Default"/>
        <w:numPr>
          <w:ilvl w:val="0"/>
          <w:numId w:val="5"/>
        </w:numPr>
        <w:spacing w:lineRule="auto" w:line="288" w:before="120" w:after="120"/>
        <w:ind w:hanging="567" w:left="567"/>
        <w:jc w:val="both"/>
        <w:rPr>
          <w:b/>
          <w:i/>
          <w:i/>
          <w:color w:themeColor="text1" w:val="000000"/>
        </w:rPr>
      </w:pPr>
      <w:r>
        <w:rPr>
          <w:b/>
          <w:bCs/>
          <w:color w:themeColor="text1" w:val="000000"/>
        </w:rPr>
        <w:t>Giá bán Bất Động Sản: [prod_price]</w:t>
      </w:r>
      <w:r>
        <w:rPr>
          <w:b/>
          <w:color w:themeColor="text1" w:val="000000"/>
        </w:rPr>
        <w:t xml:space="preserve"> đồng </w:t>
      </w:r>
      <w:r>
        <w:rPr>
          <w:b/>
          <w:i/>
          <w:iCs/>
          <w:color w:themeColor="text1" w:val="000000"/>
        </w:rPr>
        <w:t>(bằng chữ [prod</w:t>
      </w:r>
      <w:r>
        <w:rPr>
          <w:b/>
          <w:bCs/>
          <w:i/>
          <w:iCs/>
          <w:color w:themeColor="text1" w:val="000000"/>
        </w:rPr>
        <w:t>_price_in_work</w:t>
      </w:r>
      <w:r>
        <w:rPr>
          <w:b/>
          <w:i/>
          <w:iCs/>
          <w:color w:themeColor="text1" w:val="000000"/>
        </w:rPr>
        <w:t>])</w:t>
      </w:r>
    </w:p>
    <w:p>
      <w:pPr>
        <w:pStyle w:val="Default"/>
        <w:spacing w:lineRule="auto" w:line="288" w:before="120" w:after="120"/>
        <w:ind w:left="540"/>
        <w:jc w:val="both"/>
        <w:rPr>
          <w:bCs/>
          <w:color w:themeColor="text1" w:val="000000"/>
        </w:rPr>
      </w:pPr>
      <w:r>
        <w:rPr>
          <w:bCs/>
          <w:color w:themeColor="text1" w:val="000000"/>
        </w:rPr>
        <w:t xml:space="preserve">Trong đó: </w:t>
      </w:r>
    </w:p>
    <w:p>
      <w:pPr>
        <w:pStyle w:val="Default"/>
        <w:spacing w:lineRule="auto" w:line="288" w:before="120" w:after="120"/>
        <w:ind w:left="1560"/>
        <w:jc w:val="both"/>
        <w:rPr>
          <w:b/>
          <w:i/>
          <w:i/>
          <w:color w:val="auto"/>
        </w:rPr>
      </w:pPr>
      <w:r>
        <w:rPr>
          <w:b/>
          <w:i/>
          <w:color w:val="auto"/>
        </w:rPr>
        <w:t xml:space="preserve">- Giá trị Quyền Sử dụng đất: [tran_price] đồng </w:t>
      </w:r>
      <w:r>
        <w:rPr>
          <w:b/>
          <w:i/>
          <w:iCs/>
          <w:color w:val="auto"/>
        </w:rPr>
        <w:t>(bằng chữ [tran_price_in_word])</w:t>
      </w:r>
    </w:p>
    <w:p>
      <w:pPr>
        <w:pStyle w:val="Default"/>
        <w:spacing w:lineRule="auto" w:line="288" w:before="120" w:after="120"/>
        <w:ind w:left="547"/>
        <w:jc w:val="both"/>
        <w:rPr>
          <w:i/>
          <w:i/>
          <w:color w:themeColor="text1" w:val="000000"/>
        </w:rPr>
      </w:pPr>
      <w:r>
        <w:rPr>
          <w:i/>
        </w:rPr>
        <w:t>Giá Bán Bất Động Sản đã bao gồm Giá trị Quyền Sử dụng đất, Thuế Giá Trị Gia Tăng</w:t>
      </w:r>
      <w:r>
        <w:rPr>
          <w:i/>
          <w:color w:themeColor="text1" w:val="000000"/>
        </w:rPr>
        <w:t xml:space="preserve"> (không tính trên tiền sử dụng đất nộp cho Nhà nước theo quy định của pháp luật Việt Nam) nhưng chưa bao gồm các loại thuế, phí, lệ phí liên quan đến Bất Động Sản mà Bên Đăng Ký sẽ phải nộp khi ký Hợp Đồng Giao Dịch với Chủ Đầu Tư theo quy định của pháp luật và Chủ Đầu Tư tại thời điểm ký kết.</w:t>
      </w:r>
    </w:p>
    <w:p>
      <w:pPr>
        <w:pStyle w:val="Default"/>
        <w:spacing w:lineRule="auto" w:line="288" w:before="120" w:after="120"/>
        <w:ind w:left="567"/>
        <w:jc w:val="both"/>
        <w:rPr>
          <w:color w:themeColor="text1" w:val="000000"/>
        </w:rPr>
      </w:pPr>
      <w:r>
        <w:rPr>
          <w:color w:themeColor="text1" w:val="000000"/>
        </w:rPr>
        <w:t>Giá Bán tại Đơn Đăng Ký Nguyện Vọng này chỉ là tạm tính vào ngày đăng ký. Giá Bán sẽ được quy định cụ thể tại Hợp Đồng Giao Dịch và các Phụ lục của Hợp Đồng Giao Dịch theo thống nhất của Các Bên tại từng thời điểm.</w:t>
      </w:r>
    </w:p>
    <w:p>
      <w:pPr>
        <w:pStyle w:val="Default"/>
        <w:numPr>
          <w:ilvl w:val="0"/>
          <w:numId w:val="5"/>
        </w:numPr>
        <w:spacing w:lineRule="auto" w:line="288" w:before="120" w:after="120"/>
        <w:ind w:hanging="567" w:left="567"/>
        <w:jc w:val="both"/>
        <w:rPr>
          <w:b/>
          <w:bCs/>
          <w:color w:themeColor="text1" w:val="000000"/>
        </w:rPr>
      </w:pPr>
      <w:r>
        <w:rPr>
          <w:b/>
          <w:bCs/>
          <w:color w:themeColor="text1" w:val="000000"/>
        </w:rPr>
        <w:t>Phương án thanh toán Giá Bán Bất Động Sản dự kiến</w:t>
      </w:r>
      <w:r>
        <w:rPr>
          <w:rStyle w:val="FootnoteReference"/>
          <w:b/>
          <w:bCs/>
          <w:color w:themeColor="text1" w:val="000000"/>
          <w:vertAlign w:val="superscript"/>
        </w:rPr>
        <w:footnoteReference w:id="3"/>
      </w:r>
      <w:r>
        <w:rPr>
          <w:b/>
          <w:bCs/>
          <w:color w:themeColor="text1" w:val="000000"/>
        </w:rPr>
        <w:t>:</w:t>
      </w:r>
    </w:p>
    <w:p>
      <w:pPr>
        <w:pStyle w:val="Default"/>
        <w:spacing w:lineRule="auto" w:line="288" w:before="120" w:after="120"/>
        <w:ind w:left="567"/>
        <w:jc w:val="both"/>
        <w:rPr>
          <w:bCs/>
          <w:color w:themeColor="text1" w:val="000000"/>
        </w:rPr>
      </w:pPr>
      <w:r>
        <w:rPr>
          <w:bCs/>
          <w:color w:themeColor="text1" w:val="000000"/>
        </w:rPr>
        <w:t xml:space="preserve">Theo thông báo của Chủ Đầu Tư.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xác nhận đã hiểu rõ tình trạng pháp lý của Bất Động Sản và Dự Án.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Tôi/Chúng tôi đồng ý cho phép Quý Công ty được cung cấp các thông tin đăng ký nguyện vọng mua Bất Động Sản và nhu cầu vay vốn của Tôi/Chúng tôi cho Ngân hàng để thực hiện việc tư vấn và hỗ trợ các thủ tục vay vốn liên quan.</w:t>
      </w:r>
      <w:r>
        <w:rPr>
          <w:rStyle w:val="FootnoteReference"/>
          <w:rFonts w:eastAsia="Times New Roman" w:ascii="Times New Roman" w:hAnsi="Times New Roman"/>
          <w:bCs/>
          <w:color w:themeColor="text1" w:val="000000"/>
          <w:sz w:val="24"/>
          <w:szCs w:val="24"/>
          <w:vertAlign w:val="superscript"/>
        </w:rPr>
        <w:footnoteReference w:id="4"/>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cam kết thực hiện đầy đủ các thủ tục theo quy định của pháp luật và theo thông báo của Quý Công ty và/hoặc Chủ Đầu Tư, đồng thời đáp ứng đầy đủ điều kiện theo quy định của pháp luật tại từng thời điểm về việc mua và sở hữu Bất Động Sản tại Việt Nam để hoàn thành việc ký kết </w:t>
      </w:r>
      <w:r>
        <w:rPr>
          <w:rFonts w:eastAsia="Times New Roman" w:ascii="Times New Roman" w:hAnsi="Times New Roman"/>
          <w:color w:themeColor="text1" w:val="000000"/>
          <w:sz w:val="24"/>
          <w:szCs w:val="24"/>
        </w:rPr>
        <w:t>Hợp Đồng Giao Dịch</w:t>
      </w:r>
      <w:r>
        <w:rPr>
          <w:rFonts w:eastAsia="Times New Roman" w:ascii="Times New Roman" w:hAnsi="Times New Roman"/>
          <w:b/>
          <w:color w:themeColor="text1" w:val="000000"/>
          <w:sz w:val="24"/>
          <w:szCs w:val="24"/>
        </w:rPr>
        <w:t xml:space="preserve"> </w:t>
      </w:r>
      <w:r>
        <w:rPr>
          <w:rFonts w:eastAsia="Times New Roman" w:ascii="Times New Roman" w:hAnsi="Times New Roman"/>
          <w:bCs/>
          <w:color w:themeColor="text1" w:val="000000"/>
          <w:sz w:val="24"/>
          <w:szCs w:val="24"/>
        </w:rPr>
        <w:t xml:space="preserve">hoặc văn bản có hình thức tương tự cùng các thoả thuận, tài liệu khác có liên quan (nếu có) với Quý Công ty/Chủ Đầu Tư theo mẫu do Quý Công ty/Chủ Đầu Tư ban hành khi Bất Động Sản đủ điều kiện đưa vào kinh doanh theo quy định của pháp luật.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eastAsia="Times New Roman" w:ascii="Times New Roman" w:hAnsi="Times New Roman"/>
          <w:bCs/>
          <w:color w:themeColor="text1" w:val="000000"/>
          <w:sz w:val="24"/>
          <w:szCs w:val="24"/>
        </w:rPr>
        <w:t>Để tránh hiểu nhầm, tại Đơn Đăng Ký Nguyện Vọng này Tôi/Chúng tôi xác nhận: (1) Đây</w:t>
      </w:r>
      <w:r>
        <w:rPr>
          <w:rFonts w:ascii="Times New Roman" w:hAnsi="Times New Roman"/>
          <w:color w:themeColor="text1" w:val="000000"/>
          <w:sz w:val="24"/>
          <w:szCs w:val="24"/>
        </w:rPr>
        <w:t xml:space="preserve"> là văn bản ghi nhận nguyện vọng mua Bất Động Sản của Tôi/Chúng tôi khi Bất Động Sản đủ điều kiện đưa vào kinh doanh theo quy định của pháp luật; (2) Các thỏa thuận/giao dịch khác giữa Tôi/Chúng tôi và Quý Công ty và/hoặc Chủ Đầu Tư (nếu có) trước và sau thời điểm ký Đơn Đăng Ký Nguyện Vọng này là các thỏa thuận/giao dịch hoàn toàn độc lập với nội dung tại Đơn Đăng Ký Nguyện Vọng này.</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bCs/>
          <w:color w:themeColor="text1" w:val="000000"/>
          <w:sz w:val="24"/>
          <w:szCs w:val="24"/>
        </w:rPr>
        <w:t xml:space="preserve">Trường hợp Tôi/Chúng tôi không thực hiện bất kỳ thủ tục nào theo quy định của pháp luật Việt Nam và theo thông báo của Quý Công ty và/hoặc Chủ Đầu Tư để hoàn thành việc ký kết Hợp Đồng Giao Dịch với Chủ Đầu Tư như nêu trên </w:t>
      </w:r>
      <w:r>
        <w:rPr>
          <w:rFonts w:ascii="Times New Roman" w:hAnsi="Times New Roman"/>
          <w:color w:themeColor="text1" w:val="000000"/>
          <w:sz w:val="24"/>
          <w:szCs w:val="24"/>
        </w:rPr>
        <w:t>thì đư</w:t>
      </w:r>
      <w:r>
        <w:rPr>
          <w:rFonts w:ascii="Times New Roman" w:hAnsi="Times New Roman"/>
          <w:color w:themeColor="text1" w:val="000000"/>
          <w:spacing w:val="-3"/>
          <w:sz w:val="24"/>
          <w:szCs w:val="24"/>
        </w:rPr>
        <w:t>ợ</w:t>
      </w:r>
      <w:r>
        <w:rPr>
          <w:rFonts w:ascii="Times New Roman" w:hAnsi="Times New Roman"/>
          <w:color w:themeColor="text1" w:val="000000"/>
          <w:sz w:val="24"/>
          <w:szCs w:val="24"/>
        </w:rPr>
        <w:t>c</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h</w:t>
      </w:r>
      <w:r>
        <w:rPr>
          <w:rFonts w:ascii="Times New Roman" w:hAnsi="Times New Roman"/>
          <w:color w:themeColor="text1" w:val="000000"/>
          <w:spacing w:val="-2"/>
          <w:sz w:val="24"/>
          <w:szCs w:val="24"/>
        </w:rPr>
        <w:t>i</w:t>
      </w:r>
      <w:r>
        <w:rPr>
          <w:rFonts w:ascii="Times New Roman" w:hAnsi="Times New Roman"/>
          <w:color w:themeColor="text1" w:val="000000"/>
          <w:spacing w:val="1"/>
          <w:sz w:val="24"/>
          <w:szCs w:val="24"/>
        </w:rPr>
        <w:t>ể</w:t>
      </w:r>
      <w:r>
        <w:rPr>
          <w:rFonts w:ascii="Times New Roman" w:hAnsi="Times New Roman"/>
          <w:color w:themeColor="text1" w:val="000000"/>
          <w:sz w:val="24"/>
          <w:szCs w:val="24"/>
        </w:rPr>
        <w:t>u</w:t>
      </w:r>
      <w:r>
        <w:rPr>
          <w:rFonts w:ascii="Times New Roman" w:hAnsi="Times New Roman"/>
          <w:color w:themeColor="text1" w:val="000000"/>
          <w:spacing w:val="5"/>
          <w:sz w:val="24"/>
          <w:szCs w:val="24"/>
        </w:rPr>
        <w:t xml:space="preserve"> </w:t>
      </w:r>
      <w:r>
        <w:rPr>
          <w:rFonts w:ascii="Times New Roman" w:hAnsi="Times New Roman"/>
          <w:color w:themeColor="text1" w:val="000000"/>
          <w:spacing w:val="-2"/>
          <w:sz w:val="24"/>
          <w:szCs w:val="24"/>
        </w:rPr>
        <w:t>l</w:t>
      </w:r>
      <w:r>
        <w:rPr>
          <w:rFonts w:ascii="Times New Roman" w:hAnsi="Times New Roman"/>
          <w:color w:themeColor="text1" w:val="000000"/>
          <w:sz w:val="24"/>
          <w:szCs w:val="24"/>
        </w:rPr>
        <w:t>à</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Tôi/Chúng tôi</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không</w:t>
      </w:r>
      <w:r>
        <w:rPr>
          <w:rFonts w:ascii="Times New Roman" w:hAnsi="Times New Roman"/>
          <w:color w:themeColor="text1" w:val="000000"/>
          <w:spacing w:val="1"/>
          <w:sz w:val="24"/>
          <w:szCs w:val="24"/>
        </w:rPr>
        <w:t xml:space="preserve"> c</w:t>
      </w:r>
      <w:r>
        <w:rPr>
          <w:rFonts w:ascii="Times New Roman" w:hAnsi="Times New Roman"/>
          <w:color w:themeColor="text1" w:val="000000"/>
          <w:sz w:val="24"/>
          <w:szCs w:val="24"/>
        </w:rPr>
        <w:t>òn n</w:t>
      </w:r>
      <w:r>
        <w:rPr>
          <w:rFonts w:ascii="Times New Roman" w:hAnsi="Times New Roman"/>
          <w:color w:themeColor="text1" w:val="000000"/>
          <w:spacing w:val="-2"/>
          <w:sz w:val="24"/>
          <w:szCs w:val="24"/>
        </w:rPr>
        <w:t>g</w:t>
      </w:r>
      <w:r>
        <w:rPr>
          <w:rFonts w:ascii="Times New Roman" w:hAnsi="Times New Roman"/>
          <w:color w:themeColor="text1" w:val="000000"/>
          <w:spacing w:val="2"/>
          <w:sz w:val="24"/>
          <w:szCs w:val="24"/>
        </w:rPr>
        <w:t>u</w:t>
      </w:r>
      <w:r>
        <w:rPr>
          <w:rFonts w:ascii="Times New Roman" w:hAnsi="Times New Roman"/>
          <w:color w:themeColor="text1" w:val="000000"/>
          <w:spacing w:val="-2"/>
          <w:sz w:val="24"/>
          <w:szCs w:val="24"/>
        </w:rPr>
        <w:t>y</w:t>
      </w:r>
      <w:r>
        <w:rPr>
          <w:rFonts w:ascii="Times New Roman" w:hAnsi="Times New Roman"/>
          <w:color w:themeColor="text1" w:val="000000"/>
          <w:spacing w:val="1"/>
          <w:sz w:val="24"/>
          <w:szCs w:val="24"/>
        </w:rPr>
        <w:t>ệ</w:t>
      </w:r>
      <w:r>
        <w:rPr>
          <w:rFonts w:ascii="Times New Roman" w:hAnsi="Times New Roman"/>
          <w:color w:themeColor="text1" w:val="000000"/>
          <w:sz w:val="24"/>
          <w:szCs w:val="24"/>
        </w:rPr>
        <w:t>n</w:t>
      </w:r>
      <w:r>
        <w:rPr>
          <w:rFonts w:ascii="Times New Roman" w:hAnsi="Times New Roman"/>
          <w:color w:themeColor="text1" w:val="000000"/>
          <w:spacing w:val="2"/>
          <w:sz w:val="24"/>
          <w:szCs w:val="24"/>
        </w:rPr>
        <w:t xml:space="preserve"> </w:t>
      </w:r>
      <w:r>
        <w:rPr>
          <w:rFonts w:ascii="Times New Roman" w:hAnsi="Times New Roman"/>
          <w:color w:themeColor="text1" w:val="000000"/>
          <w:spacing w:val="-2"/>
          <w:sz w:val="24"/>
          <w:szCs w:val="24"/>
        </w:rPr>
        <w:t>v</w:t>
      </w:r>
      <w:r>
        <w:rPr>
          <w:rFonts w:ascii="Times New Roman" w:hAnsi="Times New Roman"/>
          <w:color w:themeColor="text1" w:val="000000"/>
          <w:sz w:val="24"/>
          <w:szCs w:val="24"/>
        </w:rPr>
        <w:t>ọng</w:t>
      </w:r>
      <w:r>
        <w:rPr>
          <w:rFonts w:ascii="Times New Roman" w:hAnsi="Times New Roman"/>
          <w:color w:themeColor="text1" w:val="000000"/>
          <w:spacing w:val="1"/>
          <w:sz w:val="24"/>
          <w:szCs w:val="24"/>
        </w:rPr>
        <w:t xml:space="preserve"> </w:t>
      </w:r>
      <w:r>
        <w:rPr>
          <w:rFonts w:ascii="Times New Roman" w:hAnsi="Times New Roman"/>
          <w:color w:themeColor="text1" w:val="000000"/>
          <w:sz w:val="24"/>
          <w:szCs w:val="24"/>
        </w:rPr>
        <w:t xml:space="preserve">mua Bất Động Sản và Quý Công ty và/hoặc Chủ Đầu Tư </w:t>
      </w:r>
      <w:r>
        <w:rPr>
          <w:rFonts w:ascii="Times New Roman" w:hAnsi="Times New Roman"/>
          <w:bCs/>
          <w:color w:themeColor="text1" w:val="000000"/>
          <w:sz w:val="24"/>
          <w:szCs w:val="24"/>
        </w:rPr>
        <w:t xml:space="preserve">được toàn quyền môi giới, chào bán, bán, chuyển nhượng hoặc bất kỳ hình thức nào tương tự đối với Bất Động Sản mô tả tại Khoản a Điều 1 Đơn Đăng Ký </w:t>
      </w:r>
      <w:r>
        <w:rPr>
          <w:rFonts w:ascii="Times New Roman" w:hAnsi="Times New Roman"/>
          <w:color w:themeColor="text1" w:val="000000"/>
          <w:sz w:val="24"/>
          <w:szCs w:val="24"/>
        </w:rPr>
        <w:t xml:space="preserve">Nguyện Vọng </w:t>
      </w:r>
      <w:r>
        <w:rPr>
          <w:rFonts w:ascii="Times New Roman" w:hAnsi="Times New Roman"/>
          <w:bCs/>
          <w:color w:themeColor="text1" w:val="000000"/>
          <w:sz w:val="24"/>
          <w:szCs w:val="24"/>
        </w:rPr>
        <w:t xml:space="preserve">này cho bất kỳ bên thứ ba nào. Tôi/Chúng tôi cam kết không khiếu nại, khiếu kiện gì về sau.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Trường hợp Chủ Đầu Tư không thực hiện quyền nêu tại Điều 2.6 nêu trên và tiếp tục ký kết Hợp Đồng Giao Dịch với Tôi/Chúng tôi theo đề nghị của Tôi/Chúng tôi thì trước khi ký kết Hợp Đồng Giao Dịch, Tôi/Chúng tôi có trách nhiệm thanh toán cho Chủ Đầu Tư một khoản tiền tương đương với tiền lãi trên số tiền phải thanh toán theo tiến độ theo thông báo của Quý Công ty/Chủ Đầu Tư</w:t>
      </w:r>
      <w:r>
        <w:rPr>
          <w:rFonts w:ascii="Times New Roman" w:hAnsi="Times New Roman"/>
          <w:bCs/>
          <w:color w:themeColor="text1" w:val="000000"/>
          <w:sz w:val="24"/>
          <w:szCs w:val="24"/>
        </w:rPr>
        <w:t xml:space="preserve"> với lãi suất ….%/ngày (Bằng chữ: … phần trăm một ngày) trên số ngày chậm thanh toán.</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Tôi/Chúng tôi cam kết có đủ quyền hạn, năng lực để ký và hoàn toàn chịu trách nhiệm về những cam kết của mình trong Đơn Đăng Ký Nguyện Vọng này.</w:t>
      </w:r>
    </w:p>
    <w:p>
      <w:pPr>
        <w:pStyle w:val="Default"/>
        <w:spacing w:lineRule="auto" w:line="288" w:before="120" w:after="120"/>
        <w:jc w:val="both"/>
        <w:rPr>
          <w:color w:themeColor="text1" w:val="000000"/>
        </w:rPr>
      </w:pPr>
      <w:r>
        <w:rPr>
          <w:b/>
          <w:bCs/>
          <w:color w:themeColor="text1" w:val="000000"/>
        </w:rPr>
        <w:t xml:space="preserve">Trân trọng cảm ơn./. </w:t>
      </w:r>
    </w:p>
    <w:p>
      <w:pPr>
        <w:pStyle w:val="Default"/>
        <w:jc w:val="right"/>
        <w:rPr>
          <w:color w:themeColor="text1" w:val="000000"/>
        </w:rPr>
      </w:pPr>
      <w:r>
        <w:rPr>
          <w:i/>
          <w:iCs/>
          <w:color w:themeColor="text1" w:val="000000"/>
        </w:rPr>
        <w:t>……</w:t>
      </w:r>
      <w:r>
        <w:rPr>
          <w:i/>
          <w:iCs/>
          <w:color w:themeColor="text1" w:val="000000"/>
        </w:rPr>
        <w:t xml:space="preserve">, ngày ….. tháng …… năm…..…… </w:t>
      </w:r>
    </w:p>
    <w:p>
      <w:pPr>
        <w:pStyle w:val="Default"/>
        <w:jc w:val="center"/>
        <w:rPr>
          <w:b/>
          <w:bCs/>
          <w:color w:themeColor="text1" w:val="000000"/>
        </w:rPr>
      </w:pPr>
      <w:r>
        <w:rPr>
          <w:b/>
          <w:bCs/>
          <w:color w:themeColor="text1" w:val="000000"/>
        </w:rPr>
        <w:t xml:space="preserve">                                                                                          </w:t>
      </w:r>
      <w:r>
        <w:rPr>
          <w:b/>
          <w:bCs/>
          <w:color w:themeColor="text1" w:val="000000"/>
        </w:rPr>
        <w:t>BÊN ĐĂNG KÝ</w:t>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color w:themeColor="text1" w:val="000000"/>
        </w:rPr>
      </w:pPr>
      <w:r>
        <w:rPr>
          <w:color w:themeColor="text1" w:val="000000"/>
        </w:rPr>
      </w:r>
    </w:p>
    <w:p>
      <w:pPr>
        <w:pStyle w:val="Normal"/>
        <w:spacing w:lineRule="auto" w:line="240" w:before="0" w:after="0"/>
        <w:jc w:val="center"/>
        <w:rPr>
          <w:rFonts w:ascii="Times New Roman" w:hAnsi="Times New Roman"/>
          <w:b/>
          <w:bCs/>
          <w:color w:themeColor="text1" w:val="000000"/>
          <w:sz w:val="24"/>
          <w:szCs w:val="24"/>
        </w:rPr>
      </w:pPr>
      <w:r>
        <w:rPr>
          <w:rFonts w:ascii="Times New Roman" w:hAnsi="Times New Roman"/>
          <w:b/>
          <w:bCs/>
          <w:color w:themeColor="text1" w:val="000000"/>
          <w:sz w:val="24"/>
          <w:szCs w:val="24"/>
        </w:rPr>
        <w:t>XÁC NHẬN CỦA CÔNG TY</w:t>
      </w:r>
    </w:p>
    <w:p>
      <w:pPr>
        <w:pStyle w:val="Default"/>
        <w:spacing w:lineRule="auto" w:line="312" w:before="120" w:after="120"/>
        <w:jc w:val="both"/>
        <w:rPr>
          <w:color w:themeColor="text1" w:val="000000"/>
        </w:rPr>
      </w:pPr>
      <w:r>
        <w:rPr>
          <w:color w:themeColor="text1" w:val="000000"/>
        </w:rPr>
        <w:t>Chúng tôi đã nhận được Đơn Đăng Ký Nguyện Vọng của Quý Khách và sẽ nỗ lực tìm kiếm Bất Động Sản phù hợp với nguyện vọng của Quý Khách tại Đơn Đăng Ký Nguyện Vọng.</w:t>
      </w:r>
    </w:p>
    <w:p>
      <w:pPr>
        <w:pStyle w:val="Default"/>
        <w:spacing w:lineRule="auto" w:line="312" w:before="120" w:after="120"/>
        <w:jc w:val="center"/>
        <w:rPr>
          <w:color w:themeColor="text1" w:val="000000"/>
        </w:rPr>
      </w:pPr>
      <w:r>
        <w:rPr>
          <w:b/>
          <w:bCs/>
          <w:color w:themeColor="text1" w:val="000000"/>
        </w:rPr>
        <w:t xml:space="preserve">CÔNG TY </w:t>
      </w:r>
      <w:r>
        <w:rPr>
          <w:color w:themeColor="text1" w:val="000000"/>
        </w:rPr>
        <w:t>[i</w:t>
      </w:r>
      <w:r>
        <w:rPr/>
        <w:t>nvestor_name</w:t>
      </w:r>
      <w:r>
        <w:rPr>
          <w:color w:themeColor="text1" w:val="000000"/>
        </w:rPr>
        <w:t>]</w:t>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sectPr>
      <w:headerReference w:type="even" r:id="rId2"/>
      <w:headerReference w:type="default" r:id="rId3"/>
      <w:headerReference w:type="first" r:id="rId4"/>
      <w:footerReference w:type="even" r:id="rId5"/>
      <w:footerReference w:type="default" r:id="rId6"/>
      <w:footerReference w:type="first" r:id="rId7"/>
      <w:footnotePr>
        <w:numFmt w:val="decimal"/>
      </w:footnotePr>
      <w:type w:val="nextPage"/>
      <w:pgSz w:w="11906" w:h="16838"/>
      <w:pgMar w:left="1412" w:right="1140" w:gutter="0" w:header="346" w:top="1412" w:footer="244" w:bottom="1140"/>
      <w:pgNumType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Wingdings">
    <w:charset w:val="02"/>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Không áp dụng đối với trường hợp bán nền</w:t>
      </w:r>
    </w:p>
  </w:footnote>
  <w:footnote w:id="3">
    <w:p>
      <w:pPr>
        <w:pStyle w:val="FootnoteText"/>
        <w:spacing w:before="0" w:after="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Bổ sung thông tin các đợt thanh toán và tiến độ thanh toán cho phù hợp với chính sách bán hàng tùy từng thời điểm.</w:t>
      </w:r>
    </w:p>
  </w:footnote>
  <w:footnote w:id="4">
    <w:p>
      <w:pPr>
        <w:pStyle w:val="FootnoteText"/>
        <w:spacing w:before="0" w:after="0"/>
        <w:rPr>
          <w:rStyle w:val="FootnoteCharacters"/>
          <w:rFonts w:ascii="Times New Roman" w:hAnsi="Times New Roman"/>
          <w:position w:val="0"/>
          <w:sz w:val="20"/>
          <w:sz w:val="20"/>
          <w:vertAlign w:val="baseline"/>
        </w:rPr>
      </w:pPr>
      <w:r>
        <w:rPr>
          <w:rStyle w:val="FootnoteCharacters"/>
        </w:rPr>
        <w:footnoteRef/>
      </w:r>
      <w:r>
        <w:rPr>
          <w:rStyle w:val="FootnoteCharacters"/>
          <w:rFonts w:ascii="Times New Roman" w:hAnsi="Times New Roman"/>
        </w:rPr>
        <w:t xml:space="preserve"> </w:t>
      </w:r>
      <w:r>
        <w:rPr>
          <w:rStyle w:val="FootnoteCharacters"/>
          <w:rFonts w:ascii="Times New Roman" w:hAnsi="Times New Roman"/>
          <w:position w:val="0"/>
          <w:sz w:val="20"/>
          <w:sz w:val="20"/>
          <w:vertAlign w:val="baseline"/>
        </w:rPr>
        <w:t>Nội dung này chỉ áp dụng với các căn vay ngân hàng</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pacing w:before="0" w:after="200"/>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pacing w:before="0" w:after="200"/>
      <w:rPr/>
    </w:pPr>
    <w:r>
      <w:rPr/>
      <mc:AlternateContent>
        <mc:Choice Requires="wps">
          <w:drawing>
            <wp:anchor behindDoc="1" distT="39370" distB="58420" distL="107950" distR="130810" simplePos="0" locked="0" layoutInCell="0" allowOverlap="1" relativeHeight="8" wp14:anchorId="53255107">
              <wp:simplePos x="0" y="0"/>
              <wp:positionH relativeFrom="column">
                <wp:posOffset>121920</wp:posOffset>
              </wp:positionH>
              <wp:positionV relativeFrom="paragraph">
                <wp:posOffset>-68580</wp:posOffset>
              </wp:positionV>
              <wp:extent cx="891540" cy="266700"/>
              <wp:effectExtent l="6350" t="6350" r="6350" b="6350"/>
              <wp:wrapSquare wrapText="bothSides"/>
              <wp:docPr id="1" name="Text Box 2"/>
              <a:graphic xmlns:a="http://schemas.openxmlformats.org/drawingml/2006/main">
                <a:graphicData uri="http://schemas.microsoft.com/office/word/2010/wordprocessingShape">
                  <wps:wsp>
                    <wps:cNvSpPr/>
                    <wps:spPr>
                      <a:xfrm>
                        <a:off x="0" y="0"/>
                        <a:ext cx="891720" cy="266760"/>
                      </a:xfrm>
                      <a:prstGeom prst="rect">
                        <a:avLst/>
                      </a:prstGeom>
                      <a:solidFill>
                        <a:srgbClr val="ffffff"/>
                      </a:solidFill>
                      <a:ln>
                        <a:solidFill>
                          <a:srgbClr val="000000"/>
                        </a:solidFill>
                      </a:ln>
                    </wps:spPr>
                    <wps:style>
                      <a:lnRef idx="2">
                        <a:schemeClr val="dk1"/>
                      </a:lnRef>
                      <a:fillRef idx="1">
                        <a:schemeClr val="lt1"/>
                      </a:fillRef>
                      <a:effectRef idx="0">
                        <a:schemeClr val="dk1"/>
                      </a:effectRef>
                      <a:fontRef idx="minor"/>
                    </wps:style>
                    <wps:txbx>
                      <w:txbxContent>
                        <w:p>
                          <w:pPr>
                            <w:pStyle w:val="FrameContents"/>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wps:txbx>
                    <wps:bodyPr anchor="t">
                      <a:noAutofit/>
                    </wps:bodyPr>
                  </wps:wsp>
                </a:graphicData>
              </a:graphic>
            </wp:anchor>
          </w:drawing>
        </mc:Choice>
        <mc:Fallback>
          <w:pict>
            <v:rect id="shape_0" ID="Text Box 2" path="m0,0l-2147483645,0l-2147483645,-2147483646l0,-2147483646xe" fillcolor="white" stroked="t" o:allowincell="f" style="position:absolute;margin-left:9.6pt;margin-top:-5.4pt;width:70.15pt;height:20.95pt;mso-wrap-style:square;v-text-anchor:top" wp14:anchorId="53255107">
              <v:fill o:detectmouseclick="t" type="solid" color2="black"/>
              <v:stroke color="black" weight="12600" joinstyle="miter" endcap="flat"/>
              <v:textbox>
                <w:txbxContent>
                  <w:p>
                    <w:pPr>
                      <w:pStyle w:val="FrameContents"/>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v:textbox>
              <w10:wrap type="square"/>
            </v:rect>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pacing w:before="0" w:after="200"/>
      <w:rPr/>
    </w:pPr>
    <w:r>
      <w:rPr/>
      <mc:AlternateContent>
        <mc:Choice Requires="wps">
          <w:drawing>
            <wp:anchor behindDoc="1" distT="39370" distB="58420" distL="107950" distR="130810" simplePos="0" locked="0" layoutInCell="0" allowOverlap="1" relativeHeight="8" wp14:anchorId="53255107">
              <wp:simplePos x="0" y="0"/>
              <wp:positionH relativeFrom="column">
                <wp:posOffset>121920</wp:posOffset>
              </wp:positionH>
              <wp:positionV relativeFrom="paragraph">
                <wp:posOffset>-68580</wp:posOffset>
              </wp:positionV>
              <wp:extent cx="891540" cy="266700"/>
              <wp:effectExtent l="6350" t="6350" r="6350" b="6350"/>
              <wp:wrapSquare wrapText="bothSides"/>
              <wp:docPr id="2" name="Text Box 2"/>
              <a:graphic xmlns:a="http://schemas.openxmlformats.org/drawingml/2006/main">
                <a:graphicData uri="http://schemas.microsoft.com/office/word/2010/wordprocessingShape">
                  <wps:wsp>
                    <wps:cNvSpPr/>
                    <wps:spPr>
                      <a:xfrm>
                        <a:off x="0" y="0"/>
                        <a:ext cx="891720" cy="266760"/>
                      </a:xfrm>
                      <a:prstGeom prst="rect">
                        <a:avLst/>
                      </a:prstGeom>
                      <a:solidFill>
                        <a:srgbClr val="ffffff"/>
                      </a:solidFill>
                      <a:ln>
                        <a:solidFill>
                          <a:srgbClr val="000000"/>
                        </a:solidFill>
                      </a:ln>
                    </wps:spPr>
                    <wps:style>
                      <a:lnRef idx="2">
                        <a:schemeClr val="dk1"/>
                      </a:lnRef>
                      <a:fillRef idx="1">
                        <a:schemeClr val="lt1"/>
                      </a:fillRef>
                      <a:effectRef idx="0">
                        <a:schemeClr val="dk1"/>
                      </a:effectRef>
                      <a:fontRef idx="minor"/>
                    </wps:style>
                    <wps:txbx>
                      <w:txbxContent>
                        <w:p>
                          <w:pPr>
                            <w:pStyle w:val="FrameContents"/>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wps:txbx>
                    <wps:bodyPr anchor="t">
                      <a:noAutofit/>
                    </wps:bodyPr>
                  </wps:wsp>
                </a:graphicData>
              </a:graphic>
            </wp:anchor>
          </w:drawing>
        </mc:Choice>
        <mc:Fallback>
          <w:pict>
            <v:rect id="shape_0" ID="Text Box 2" path="m0,0l-2147483645,0l-2147483645,-2147483646l0,-2147483646xe" fillcolor="white" stroked="t" o:allowincell="f" style="position:absolute;margin-left:9.6pt;margin-top:-5.4pt;width:70.15pt;height:20.95pt;mso-wrap-style:square;v-text-anchor:top" wp14:anchorId="53255107">
              <v:fill o:detectmouseclick="t" type="solid" color2="black"/>
              <v:stroke color="black" weight="12600" joinstyle="miter" endcap="flat"/>
              <v:textbox>
                <w:txbxContent>
                  <w:p>
                    <w:pPr>
                      <w:pStyle w:val="FrameContents"/>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v:textbox>
              <w10:wrap type="square"/>
            </v:rect>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720" w:hanging="360"/>
      </w:pPr>
      <w:rPr>
        <w:b/>
        <w:rFonts w:cs="Times New Roman"/>
      </w:rPr>
    </w:lvl>
    <w:lvl w:ilvl="1">
      <w:start w:val="1"/>
      <w:isLgl/>
      <w:numFmt w:val="decimal"/>
      <w:lvlText w:val="%1.%2"/>
      <w:lvlJc w:val="left"/>
      <w:pPr>
        <w:tabs>
          <w:tab w:val="num" w:pos="0"/>
        </w:tabs>
        <w:ind w:left="720" w:hanging="360"/>
      </w:pPr>
      <w:rPr>
        <w:b/>
      </w:rPr>
    </w:lvl>
    <w:lvl w:ilvl="2">
      <w:start w:val="1"/>
      <w:isLgl/>
      <w:numFmt w:val="decimal"/>
      <w:lvlText w:val="%1.%2.%3"/>
      <w:lvlJc w:val="left"/>
      <w:pPr>
        <w:tabs>
          <w:tab w:val="num" w:pos="0"/>
        </w:tabs>
        <w:ind w:left="1080" w:hanging="720"/>
      </w:pPr>
      <w:rPr>
        <w:b/>
      </w:rPr>
    </w:lvl>
    <w:lvl w:ilvl="3">
      <w:start w:val="1"/>
      <w:isLgl/>
      <w:numFmt w:val="decimal"/>
      <w:lvlText w:val="%1.%2.%3.%4"/>
      <w:lvlJc w:val="left"/>
      <w:pPr>
        <w:tabs>
          <w:tab w:val="num" w:pos="0"/>
        </w:tabs>
        <w:ind w:left="1080" w:hanging="720"/>
      </w:pPr>
      <w:rPr>
        <w:b/>
      </w:rPr>
    </w:lvl>
    <w:lvl w:ilvl="4">
      <w:start w:val="1"/>
      <w:isLgl/>
      <w:numFmt w:val="decimal"/>
      <w:lvlText w:val="%1.%2.%3.%4.%5"/>
      <w:lvlJc w:val="left"/>
      <w:pPr>
        <w:tabs>
          <w:tab w:val="num" w:pos="0"/>
        </w:tabs>
        <w:ind w:left="1440" w:hanging="1080"/>
      </w:pPr>
      <w:rPr>
        <w:b/>
      </w:rPr>
    </w:lvl>
    <w:lvl w:ilvl="5">
      <w:start w:val="1"/>
      <w:isLgl/>
      <w:numFmt w:val="decimal"/>
      <w:lvlText w:val="%1.%2.%3.%4.%5.%6"/>
      <w:lvlJc w:val="left"/>
      <w:pPr>
        <w:tabs>
          <w:tab w:val="num" w:pos="0"/>
        </w:tabs>
        <w:ind w:left="1440" w:hanging="1080"/>
      </w:pPr>
      <w:rPr>
        <w:b/>
      </w:rPr>
    </w:lvl>
    <w:lvl w:ilvl="6">
      <w:start w:val="1"/>
      <w:isLgl/>
      <w:numFmt w:val="decimal"/>
      <w:lvlText w:val="%1.%2.%3.%4.%5.%6.%7"/>
      <w:lvlJc w:val="left"/>
      <w:pPr>
        <w:tabs>
          <w:tab w:val="num" w:pos="0"/>
        </w:tabs>
        <w:ind w:left="1800" w:hanging="1440"/>
      </w:pPr>
      <w:rPr>
        <w:b/>
      </w:rPr>
    </w:lvl>
    <w:lvl w:ilvl="7">
      <w:start w:val="1"/>
      <w:isLgl/>
      <w:numFmt w:val="decimal"/>
      <w:lvlText w:val="%1.%2.%3.%4.%5.%6.%7.%8"/>
      <w:lvlJc w:val="left"/>
      <w:pPr>
        <w:tabs>
          <w:tab w:val="num" w:pos="0"/>
        </w:tabs>
        <w:ind w:left="1800" w:hanging="1440"/>
      </w:pPr>
      <w:rPr>
        <w:b/>
      </w:rPr>
    </w:lvl>
    <w:lvl w:ilvl="8">
      <w:start w:val="1"/>
      <w:isLgl/>
      <w:numFmt w:val="decimal"/>
      <w:lvlText w:val="%1.%2.%3.%4.%5.%6.%7.%8.%9"/>
      <w:lvlJc w:val="left"/>
      <w:pPr>
        <w:tabs>
          <w:tab w:val="num" w:pos="0"/>
        </w:tabs>
        <w:ind w:left="2160" w:hanging="1800"/>
      </w:pPr>
      <w:rPr>
        <w:b/>
      </w:rPr>
    </w:lvl>
  </w:abstractNum>
  <w:abstractNum w:abstractNumId="3">
    <w:lvl w:ilvl="0">
      <w:start w:val="1"/>
      <w:numFmt w:val="lowerLetter"/>
      <w:lvlText w:val="%1)"/>
      <w:lvlJc w:val="left"/>
      <w:pPr>
        <w:tabs>
          <w:tab w:val="num" w:pos="0"/>
        </w:tabs>
        <w:ind w:left="360" w:hanging="360"/>
      </w:pPr>
      <w:rPr>
        <w:i w:val="false"/>
        <w:b/>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4">
    <w:lvl w:ilvl="0">
      <w:start w:val="1"/>
      <w:numFmt w:val="decimal"/>
      <w:lvlText w:val="2.%1"/>
      <w:lvlJc w:val="left"/>
      <w:pPr>
        <w:tabs>
          <w:tab w:val="num" w:pos="0"/>
        </w:tabs>
        <w:ind w:left="720" w:hanging="360"/>
      </w:pPr>
      <w:rPr>
        <w:i w:val="false"/>
        <w:b/>
        <w:iCs/>
        <w:bCs/>
        <w:rFonts w:ascii="Times New Roman" w:hAnsi="Times New Roman"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lowerLetter"/>
      <w:lvlText w:val="%1)"/>
      <w:lvlJc w:val="left"/>
      <w:pPr>
        <w:tabs>
          <w:tab w:val="num" w:pos="0"/>
        </w:tabs>
        <w:ind w:left="720" w:hanging="360"/>
      </w:pPr>
      <w:rPr>
        <w:i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embedSystemFonts/>
  <w:defaultTabStop w:val="720"/>
  <w:autoHyphenation w:val="true"/>
  <w:hyphenationZone w:val="0"/>
  <w:footnotePr>
    <w:numFmt w:val="decimal"/>
    <w:footnote w:id="0"/>
    <w:footnote w:id="1"/>
  </w:foot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
    <w:name w:val="Footnote Characters"/>
    <w:uiPriority w:val="99"/>
    <w:qFormat/>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user">
    <w:name w:val="Endnote Characters (user)"/>
    <w:qFormat/>
    <w:rPr>
      <w:vertAlign w:val="superscript"/>
    </w:rPr>
  </w:style>
  <w:style w:type="character" w:styleId="EndnoteCharacters">
    <w:name w:val="Endnote Characters"/>
    <w:qForma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FrameContents">
    <w:name w:val="Frame Contents"/>
    <w:basedOn w:val="Normal"/>
    <w:qFormat/>
    <w:pPr/>
    <w:rPr/>
  </w:style>
  <w:style w:type="paragraph" w:styleId="FrameContentsuser">
    <w:name w:val="Frame Contents (user)"/>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5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Application>LibreOffice/25.2.7.2$Linux_X86_64 LibreOffice_project/520$Build-2</Application>
  <AppVersion>15.0000</AppVersion>
  <Pages>4</Pages>
  <Words>1223</Words>
  <Characters>4555</Characters>
  <CharactersWithSpaces>5796</CharactersWithSpaces>
  <Paragraphs>74</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2025-06-26T08:10:00Z</dcterms:created>
  <dc:creator>Hiền 05 BPC</dc:creator>
  <dc:description/>
  <dc:language>en-US</dc:language>
  <cp:lastModifiedBy/>
  <cp:lastPrinted>2025-07-03T04:57:00Z</cp:lastPrinted>
  <dcterms:modified xsi:type="dcterms:W3CDTF">2026-01-05T04:34:48Z</dcterms:modified>
  <cp:revision>38</cp:revision>
  <dc:subject/>
  <dc:title/>
</cp:coreProperties>
</file>

<file path=docProps/custom.xml><?xml version="1.0" encoding="utf-8"?>
<Properties xmlns="http://schemas.openxmlformats.org/officeDocument/2006/custom-properties" xmlns:vt="http://schemas.openxmlformats.org/officeDocument/2006/docPropsVTypes"/>
</file>