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G.B01.01</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ngày 05 tháng 02 năm 2026</w:t>
      </w:r>
      <w:r>
        <w:rPr>
          <w:rFonts w:eastAsia="Arial" w:ascii="Times New Roman" w:hAnsi="Times New Roman"/>
          <w:i/>
          <w:iCs/>
          <w:color w:themeColor="text1" w:val="000000"/>
          <w:sz w:val="24"/>
          <w:szCs w:val="24"/>
          <w:lang w:val="pt-BR"/>
        </w:rPr>
      </w:r>
      <w:r>
        <w:rPr>
          <w:rFonts w:ascii="Times New Roman" w:hAnsi="Times New Roman"/>
          <w:i/>
          <w:iCs/>
          <w:color w:themeColor="text1" w:val="000000"/>
          <w:sz w:val="24"/>
          <w:szCs w:val="24"/>
        </w:rPr>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G.B01.01;</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sectPr>
      <w:footerReference w:type="even" r:id="rId2"/>
      <w:footerReference w:type="default" r:id="rId3"/>
      <w:footerReference w:type="first" r:id="rId4"/>
      <w:headerReference w:type="default" r:id="rId10"/>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650</Words>
  <Characters>2744</Characters>
  <CharactersWithSpaces>3303</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2026-01-19T11:42:36Z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