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rFonts w:ascii="Times New Roman" w:hAnsi="Times New Roman" w:cs="Times New Roman"/>
          <w:b/>
          <w:sz w:val="24"/>
          <w:szCs w:val="24"/>
        </w:rPr>
      </w:pPr>
      <w:r>
        <w:rPr>
          <w:rFonts w:cs="Times New Roman" w:ascii="Times New Roman" w:hAnsi="Times New Roman"/>
          <w:b/>
          <w:sz w:val="24"/>
          <w:szCs w:val="24"/>
        </w:rPr>
        <w:t>CỘNG HÒA XÃ HỘI CHỦ NGHĨA VIỆT NAM</w:t>
      </w:r>
    </w:p>
    <w:p>
      <w:pPr>
        <w:pStyle w:val="Normal"/>
        <w:spacing w:lineRule="auto" w:line="276" w:before="120" w:after="120"/>
        <w:jc w:val="center"/>
        <w:rPr>
          <w:rFonts w:ascii="Times New Roman" w:hAnsi="Times New Roman" w:cs="Times New Roman"/>
          <w:sz w:val="24"/>
          <w:szCs w:val="24"/>
        </w:rPr>
      </w:pPr>
      <w:r>
        <w:rPr>
          <w:rFonts w:cs="Times New Roman" w:ascii="Times New Roman" w:hAnsi="Times New Roman"/>
          <w:sz w:val="24"/>
          <w:szCs w:val="24"/>
        </w:rPr>
        <w:t>Độc lập</w:t>
      </w:r>
      <w:r>
        <w:rPr>
          <w:rFonts w:cs="Times New Roman" w:ascii="Times New Roman" w:hAnsi="Times New Roman"/>
          <w:sz w:val="24"/>
          <w:szCs w:val="24"/>
          <w:lang w:val="vi-VN"/>
        </w:rPr>
        <w:t xml:space="preserve"> – Tự do – Hạ</w:t>
      </w:r>
      <w:r>
        <w:rPr>
          <w:rFonts w:cs="Times New Roman" w:ascii="Times New Roman" w:hAnsi="Times New Roman"/>
          <w:sz w:val="24"/>
          <w:szCs w:val="24"/>
        </w:rPr>
        <w:t>nh</w:t>
      </w:r>
      <w:r>
        <w:rPr>
          <w:rFonts w:cs="Times New Roman" w:ascii="Times New Roman" w:hAnsi="Times New Roman"/>
          <w:sz w:val="24"/>
          <w:szCs w:val="24"/>
          <w:lang w:val="vi-VN"/>
        </w:rPr>
        <w:t xml:space="preserve"> phúc</w:t>
      </w:r>
    </w:p>
    <w:p>
      <w:pPr>
        <w:pStyle w:val="Normal"/>
        <w:spacing w:lineRule="auto" w:line="276" w:before="120" w:after="120"/>
        <w:jc w:val="center"/>
        <w:rPr>
          <w:rFonts w:ascii="Times New Roman" w:hAnsi="Times New Roman" w:cs="Times New Roman"/>
          <w:b/>
          <w:sz w:val="24"/>
          <w:szCs w:val="24"/>
          <w:lang w:val="vi-VN"/>
        </w:rPr>
      </w:pPr>
      <w:r>
        <w:rPr>
          <w:rFonts w:cs="Times New Roman" w:ascii="Times New Roman" w:hAnsi="Times New Roman"/>
          <w:b/>
          <w:sz w:val="24"/>
          <w:szCs w:val="24"/>
        </w:rPr>
        <w:t xml:space="preserve">------o0o------ </w:t>
      </w:r>
    </w:p>
    <w:p>
      <w:pPr>
        <w:pStyle w:val="Normal"/>
        <w:spacing w:lineRule="auto" w:line="276"/>
        <w:jc w:val="center"/>
        <w:rPr>
          <w:rFonts w:ascii="Times New Roman" w:hAnsi="Times New Roman" w:cs="Times New Roman"/>
          <w:b/>
          <w:sz w:val="26"/>
          <w:szCs w:val="26"/>
        </w:rPr>
      </w:pPr>
      <w:r>
        <w:rPr>
          <w:rFonts w:cs="Times New Roman" w:ascii="Times New Roman" w:hAnsi="Times New Roman"/>
          <w:b/>
          <w:sz w:val="26"/>
          <w:szCs w:val="26"/>
        </w:rPr>
        <w:t>BIÊN BẢN THANH LÝ THOẢ THUẬN THỰC HIỆN NGUYỆN VỌNG</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Số: [prod_trade_code]</w:t>
      </w:r>
    </w:p>
    <w:p>
      <w:pPr>
        <w:pStyle w:val="CommentText"/>
        <w:jc w:val="both"/>
        <w:rPr>
          <w:rFonts w:ascii="Times New Roman" w:hAnsi="Times New Roman" w:cs="Times New Roman"/>
          <w:sz w:val="24"/>
          <w:szCs w:val="24"/>
        </w:rPr>
      </w:pPr>
      <w:r>
        <w:rPr>
          <w:rFonts w:cs="Times New Roman" w:ascii="Times New Roman" w:hAnsi="Times New Roman"/>
          <w:sz w:val="24"/>
          <w:szCs w:val="24"/>
        </w:rPr>
        <w:t>- Căn cứ Thỏa Thuận Thực Hiện Nguyện Vọng ký ngày [trans_date] giữa Công ty cổ phần bất động sản và Ông/Bà [customer_name]</w:t>
      </w:r>
    </w:p>
    <w:p>
      <w:pPr>
        <w:pStyle w:val="Normal"/>
        <w:spacing w:lineRule="auto" w:line="276"/>
        <w:ind w:right="-1"/>
        <w:jc w:val="both"/>
        <w:rPr>
          <w:rFonts w:ascii="Times New Roman" w:hAnsi="Times New Roman" w:cs="Times New Roman"/>
          <w:sz w:val="24"/>
          <w:szCs w:val="24"/>
        </w:rPr>
      </w:pPr>
      <w:r>
        <w:rPr>
          <w:rFonts w:cs="Times New Roman" w:ascii="Times New Roman" w:hAnsi="Times New Roman"/>
          <w:sz w:val="24"/>
          <w:szCs w:val="24"/>
        </w:rPr>
        <w:t>Biên Bản Thanh Lý Thoả Thuận Thực Hiện Nguyện Vọng này (“</w:t>
      </w:r>
      <w:r>
        <w:rPr>
          <w:rFonts w:cs="Times New Roman" w:ascii="Times New Roman" w:hAnsi="Times New Roman"/>
          <w:b/>
          <w:sz w:val="24"/>
          <w:szCs w:val="24"/>
        </w:rPr>
        <w:t>Biên Bản Thanh Lý</w:t>
      </w:r>
      <w:r>
        <w:rPr>
          <w:rFonts w:cs="Times New Roman" w:ascii="Times New Roman" w:hAnsi="Times New Roman"/>
          <w:sz w:val="24"/>
          <w:szCs w:val="24"/>
        </w:rPr>
        <w:t>”) được lập ngày [date] tại Hà Nội giữa Các Bên sau đây:</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b/>
          <w:bCs/>
          <w:color w:themeColor="text1" w:val="000000"/>
        </w:rPr>
        <w:t xml:space="preserve"> </w:t>
      </w:r>
      <w:bookmarkStart w:id="0" w:name="_Hlk217115927"/>
      <w:r>
        <w:rPr>
          <w:b/>
          <w:bCs/>
          <w:color w:themeColor="text1" w:val="000000"/>
        </w:rPr>
        <w:t>CỔ PHẦN BẤT ĐỘNG SẢN UTOPIA</w:t>
      </w:r>
      <w:bookmarkEnd w:id="0"/>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color w:themeColor="text1" w:val="000000"/>
        </w:rPr>
      </w:pPr>
      <w:r>
        <w:rPr>
          <w:i/>
          <w:iCs/>
          <w:color w:themeColor="text1" w:val="000000"/>
          <w:lang w:val="fr-FR"/>
        </w:rPr>
        <w:t>(Sau đây gọi là</w:t>
      </w:r>
      <w:r>
        <w:rPr>
          <w:b/>
          <w:bCs/>
          <w:i/>
          <w:iCs/>
          <w:color w:themeColor="text1" w:val="000000"/>
          <w:lang w:val="fr-FR"/>
        </w:rPr>
        <w:t xml:space="preserve"> </w:t>
      </w:r>
      <w:bookmarkStart w:id="1" w:name="_Hlk132119177"/>
      <w:r>
        <w:rPr>
          <w:b/>
          <w:bCs/>
          <w:i/>
          <w:iCs/>
          <w:color w:themeColor="text1" w:val="000000"/>
          <w:lang w:val="fr-FR"/>
        </w:rPr>
        <w:t>“Bên A”</w:t>
      </w:r>
      <w:bookmarkEnd w:id="1"/>
      <w:r>
        <w:rPr>
          <w:i/>
          <w:iCs/>
          <w:color w:themeColor="text1" w:val="000000"/>
          <w:lang w:val="fr-FR"/>
        </w:rPr>
        <w:t>)</w:t>
      </w:r>
      <w:r>
        <w:rPr>
          <w:b/>
          <w:bCs/>
          <w:i/>
          <w:iCs/>
          <w:color w:themeColor="text1" w:val="000000"/>
          <w:lang w:val="fr-FR"/>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9432" w:type="dxa"/>
            <w:gridSpan w:val="3"/>
            <w:tcBorders/>
            <w:shd w:color="auto" w:fill="auto" w:val="clear"/>
          </w:tcPr>
          <w:p>
            <w:pPr>
              <w:pStyle w:val="Normal"/>
              <w:spacing w:before="0" w:after="0"/>
              <w:ind w:right="-187"/>
              <w:jc w:val="both"/>
              <w:rPr>
                <w:rFonts w:ascii="Times New Roman" w:hAnsi="Times New Roman"/>
                <w:color w:themeColor="text1" w:val="000000"/>
                <w:sz w:val="24"/>
                <w:szCs w:val="24"/>
                <w:lang w:val="fr-FR"/>
              </w:rPr>
            </w:pPr>
            <w:r>
              <w:rPr>
                <w:rFonts w:ascii="Times New Roman" w:hAnsi="Times New Roman"/>
                <w:b/>
                <w:bCs/>
                <w:color w:themeColor="text1" w:val="000000"/>
                <w:sz w:val="24"/>
                <w:szCs w:val="24"/>
                <w:lang w:val="fr-FR"/>
              </w:rPr>
              <w:t>2. BÊN ĐƯỢC CUNG CẤP DỊCH VỤ</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[customer_email]</w:t>
            </w:r>
          </w:p>
        </w:tc>
      </w:tr>
    </w:tbl>
    <w:p>
      <w:pPr>
        <w:pStyle w:val="Normal"/>
        <w:spacing w:lineRule="auto" w:line="240" w:before="144" w:after="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w:t>
      </w: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Normal"/>
        <w:spacing w:lineRule="auto" w:line="300" w:before="120" w:after="120"/>
        <w:jc w:val="both"/>
        <w:rPr>
          <w:rFonts w:ascii="Times New Roman" w:hAnsi="Times New Roman" w:cs="Times New Roman"/>
          <w:sz w:val="24"/>
          <w:szCs w:val="24"/>
        </w:rPr>
      </w:pPr>
      <w:r>
        <w:rPr>
          <w:rFonts w:cs="Times New Roman" w:ascii="Times New Roman" w:hAnsi="Times New Roman"/>
          <w:sz w:val="24"/>
          <w:szCs w:val="24"/>
        </w:rPr>
        <w:t>Sau khi trao đổi và thống nhất, Các Bên đồng ý ký kết Biên Bản Thanh Lý này để thanh lý Thoả Thuận Thực Hiện Nguyện Vọng số [prod_trade_code] ký giữa Các Bên ngày [trans_date]</w:t>
      </w:r>
      <w:r>
        <w:rPr>
          <w:rFonts w:cs="Times New Roman" w:ascii="Times New Roman" w:hAnsi="Times New Roman"/>
          <w:b/>
          <w:sz w:val="24"/>
          <w:szCs w:val="24"/>
        </w:rPr>
        <w:t xml:space="preserve"> </w:t>
      </w:r>
      <w:r>
        <w:rPr>
          <w:rFonts w:cs="Times New Roman" w:ascii="Times New Roman" w:hAnsi="Times New Roman"/>
          <w:sz w:val="24"/>
          <w:szCs w:val="24"/>
        </w:rPr>
        <w:t>và các Phụ Lục điều chỉnh, Văn bản chuyển nhượng Thoả Thuận Thực Hiện Nguyện Vọng (nếu có) (“</w:t>
      </w:r>
      <w:r>
        <w:rPr>
          <w:rFonts w:cs="Times New Roman" w:ascii="Times New Roman" w:hAnsi="Times New Roman"/>
          <w:b/>
          <w:sz w:val="24"/>
          <w:szCs w:val="24"/>
        </w:rPr>
        <w:t>Thoả Thuận Thực Hiện Nguyện Vọng</w:t>
      </w:r>
      <w:r>
        <w:rPr>
          <w:rFonts w:cs="Times New Roman" w:ascii="Times New Roman" w:hAnsi="Times New Roman"/>
          <w:sz w:val="24"/>
          <w:szCs w:val="24"/>
        </w:rPr>
        <w:t>”) với các nội dung sau đây: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1: Chấm dứt và thanh lý Thoả Thuận Thực Hiện Nguyện Vọng</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Thoả Thuận Thực Hiện Nguyện Vọng và toàn bộ các quyền, nghĩa vụ của Các Bên phát sinh từ Thoả Thuận Thực Hiện Nguyện Vọng sẽ chấm dứt hiệu lực kể từ ngày [day</w:t>
      </w:r>
      <w:r>
        <w:rPr>
          <w:rFonts w:cs="Times New Roman" w:ascii="Times New Roman" w:hAnsi="Times New Roman"/>
          <w:b w:val="false"/>
          <w:bCs w:val="false"/>
          <w:sz w:val="24"/>
          <w:szCs w:val="24"/>
        </w:rPr>
        <w:t>]/[month]/[year]</w:t>
      </w:r>
      <w:r>
        <w:rPr>
          <w:rFonts w:cs="Times New Roman" w:ascii="Times New Roman" w:hAnsi="Times New Roman"/>
          <w:sz w:val="24"/>
          <w:szCs w:val="24"/>
        </w:rPr>
        <w:t xml:space="preserve"> (“</w:t>
      </w:r>
      <w:r>
        <w:rPr>
          <w:rFonts w:cs="Times New Roman" w:ascii="Times New Roman" w:hAnsi="Times New Roman"/>
          <w:b/>
          <w:sz w:val="24"/>
          <w:szCs w:val="24"/>
        </w:rPr>
        <w:t>Ngày Chấm Dứt</w:t>
      </w:r>
      <w:r>
        <w:rPr>
          <w:rFonts w:cs="Times New Roman" w:ascii="Times New Roman" w:hAnsi="Times New Roman"/>
          <w:sz w:val="24"/>
          <w:szCs w:val="24"/>
        </w:rPr>
        <w:t>”)</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rằng:</w:t>
      </w:r>
    </w:p>
    <w:p>
      <w:pPr>
        <w:pStyle w:val="ListParagraph"/>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Bên A thực hiện chuyển toàn bộ Tiền Bảo Đảm mà Bên B đã nộp và các khoản tiền khác mà Bên B được hưởng theo quy định của Thỏa Thuận Thực Hiện Nguyện Vọng (nếu có) (sau khi trừ đi các nghĩa vụ Bên B phải thanh toán cho Bên A theo Thỏa Thuận thực Hiện Nguyện Vọng và/hoặc các khoản thuế Bên B phải thanh toán theo quy định của pháp luật) cho Chủ Đầu Tư để thanh toán Giá Bán Bất Động Sản theo tiến độ quy định tại Hợp Đồng Giao Dịch được ký kết giữa Bên B và Chủ Đầu Tư. Chi tiết như sau:</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 xml:space="preserve">Tài khoản nhận: </w:t>
      </w:r>
      <w:r>
        <w:rPr>
          <w:rFonts w:eastAsia="Arial" w:cs="Times New Roman" w:ascii="Times New Roman" w:hAnsi="Times New Roman"/>
          <w:color w:themeColor="text1" w:val="000000"/>
          <w:sz w:val="24"/>
          <w:szCs w:val="24"/>
        </w:rPr>
        <w:t>146768686868 tại Ngân hàng Thương mại Cổ phần Quân đội (MBbank) - Chi nhánh Thanh Xuân</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Số tiền chuyển khoản: [trans_amount_received] VNĐ</w:t>
      </w:r>
    </w:p>
    <w:p>
      <w:pPr>
        <w:pStyle w:val="Normal"/>
        <w:spacing w:lineRule="auto" w:line="300" w:before="120" w:after="120"/>
        <w:ind w:left="720"/>
        <w:jc w:val="both"/>
        <w:rPr>
          <w:rFonts w:ascii="Times New Roman" w:hAnsi="Times New Roman" w:cs="Times New Roman"/>
          <w:sz w:val="24"/>
          <w:szCs w:val="24"/>
        </w:rPr>
      </w:pPr>
      <w:r>
        <w:rPr>
          <w:rStyle w:val="FootnoteReference"/>
          <w:rFonts w:cs="Times New Roman" w:ascii="Times New Roman" w:hAnsi="Times New Roman"/>
          <w:sz w:val="24"/>
          <w:szCs w:val="24"/>
        </w:rPr>
        <w:footnoteReference w:id="2"/>
      </w:r>
      <w:r>
        <w:rPr>
          <w:rFonts w:cs="Times New Roman" w:ascii="Times New Roman" w:hAnsi="Times New Roman"/>
          <w:sz w:val="24"/>
          <w:szCs w:val="24"/>
        </w:rPr>
        <w:t xml:space="preserve">Khoản tiền lãi phát sinh trên Tiền Bảo Đảm chậm nộp theo quy định tại Điều 3.2 (a) của Thỏa Thuận Thực Hiện Nguyện Vọng tính đến ngày </w:t>
      </w:r>
      <w:r>
        <w:rPr>
          <w:rFonts w:cs="Times New Roman" w:ascii="Times New Roman" w:hAnsi="Times New Roman"/>
          <w:b/>
          <w:sz w:val="24"/>
          <w:szCs w:val="24"/>
        </w:rPr>
        <w:t>…</w:t>
      </w:r>
      <w:r>
        <w:rPr>
          <w:rFonts w:cs="Times New Roman" w:ascii="Times New Roman" w:hAnsi="Times New Roman"/>
          <w:sz w:val="24"/>
          <w:szCs w:val="24"/>
        </w:rPr>
        <w:t xml:space="preserve">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trong đó Bên B đã thanh toán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Bên B đồng ý chuyển cho Chủ Đầu Tư toàn bộ khoản tiền lãi chậm nộp còn lại vào ngày ký Biên Bản Thanh Lý này bằng cách chuyển khoản vào tài khoản của Chủ Đầu Tư như nêu tại Điều 1.2 Biên Bản Thanh Lý này. </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và xác nhận rằng: kể từ Ngày Chấm Dứt và Hai Bên hoàn thành việc chuyển tiền như đã nêu trên, Các Bên sẽ không còn bất kỳ ràng buộc nào đối với nhau liên quan đến Thoả Thuận Thực Hiện Nguyện Vọng. Các Bên hoàn toàn tự nguyện và đồng ý chấm dứt và thanh lý Thỏa Thuận Thực Hiện Nguyện Vọng kể từ thời điểm lập và ký Biên Bản Thanh Lý này.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2. Hiệu lực của Thỏa thuận</w:t>
      </w:r>
    </w:p>
    <w:p>
      <w:pPr>
        <w:pStyle w:val="ListParagraph"/>
        <w:numPr>
          <w:ilvl w:val="0"/>
          <w:numId w:val="3"/>
        </w:numPr>
        <w:spacing w:lineRule="auto" w:line="300" w:before="120" w:after="120"/>
        <w:ind w:hanging="578" w:left="720"/>
        <w:contextualSpacing/>
        <w:jc w:val="both"/>
        <w:rPr>
          <w:rFonts w:ascii="Times New Roman" w:hAnsi="Times New Roman" w:cs="Times New Roman"/>
          <w:sz w:val="24"/>
          <w:szCs w:val="24"/>
        </w:rPr>
      </w:pPr>
      <w:r>
        <w:rPr>
          <w:rFonts w:cs="Times New Roman" w:ascii="Times New Roman" w:hAnsi="Times New Roman"/>
          <w:sz w:val="24"/>
          <w:szCs w:val="24"/>
        </w:rPr>
        <w:t>Các Bên cam kết không phát sinh khiếu nại, khiếu kiện hay tranh chấp về bất kỳ vấn để nào liên quan đến Thoả Thuận Thực Hiện Nguyện Vọng và Biên Bản Thanh Lý này.</w:t>
      </w:r>
    </w:p>
    <w:p>
      <w:pPr>
        <w:pStyle w:val="ListParagraph"/>
        <w:numPr>
          <w:ilvl w:val="0"/>
          <w:numId w:val="3"/>
        </w:numPr>
        <w:spacing w:lineRule="auto" w:line="300" w:before="120" w:after="120"/>
        <w:ind w:hanging="578" w:left="720"/>
        <w:contextualSpacing/>
        <w:jc w:val="both"/>
        <w:rPr>
          <w:rFonts w:ascii="Times New Roman" w:hAnsi="Times New Roman" w:cs="Times New Roman"/>
          <w:color w:themeColor="text1" w:val="000000"/>
          <w:sz w:val="24"/>
          <w:szCs w:val="24"/>
          <w:lang w:val="de-DE"/>
        </w:rPr>
      </w:pPr>
      <w:r>
        <w:rPr>
          <w:rFonts w:cs="Times New Roman" w:ascii="Times New Roman" w:hAnsi="Times New Roman"/>
          <w:sz w:val="24"/>
          <w:szCs w:val="24"/>
        </w:rPr>
        <w:t xml:space="preserve">Biên Bản Thanh Lý này có hiệu lực kể từ ngày ký và được lập thành </w:t>
      </w:r>
      <w:r>
        <w:rPr>
          <w:rFonts w:cs="Times New Roman" w:ascii="Times New Roman" w:hAnsi="Times New Roman"/>
          <w:color w:themeColor="text1" w:val="000000"/>
          <w:sz w:val="24"/>
          <w:szCs w:val="24"/>
          <w:lang w:val="de-DE"/>
        </w:rPr>
        <w:t xml:space="preserve">03 (ba) </w:t>
      </w:r>
      <w:r>
        <w:rPr>
          <w:rFonts w:cs="Times New Roman" w:ascii="Times New Roman" w:hAnsi="Times New Roman"/>
          <w:sz w:val="24"/>
          <w:szCs w:val="24"/>
        </w:rPr>
        <w:t xml:space="preserve">bản gốc bằng Tiếng Việt, có giá trị pháp lý như nhau. </w:t>
      </w:r>
      <w:r>
        <w:rPr>
          <w:rFonts w:cs="Times New Roman" w:ascii="Times New Roman" w:hAnsi="Times New Roman"/>
          <w:color w:themeColor="text1" w:val="000000"/>
          <w:sz w:val="24"/>
          <w:szCs w:val="24"/>
          <w:lang w:val="de-DE"/>
        </w:rPr>
        <w:t xml:space="preserve">Bên A giữ 02 (hai) bản và Bên B giữ 01 (một) bản </w:t>
      </w:r>
      <w:r>
        <w:rPr>
          <w:rFonts w:cs="Times New Roman" w:ascii="Times New Roman" w:hAnsi="Times New Roman"/>
          <w:sz w:val="24"/>
          <w:szCs w:val="24"/>
        </w:rPr>
        <w:t xml:space="preserve">để làm căn cứ thực hiện. </w:t>
      </w:r>
    </w:p>
    <w:p>
      <w:pPr>
        <w:pStyle w:val="Normal"/>
        <w:spacing w:lineRule="auto" w:line="240"/>
        <w:jc w:val="both"/>
        <w:rPr>
          <w:rFonts w:ascii="Times New Roman" w:hAnsi="Times New Roman" w:cs="Times New Roman"/>
          <w:b/>
          <w:sz w:val="24"/>
          <w:szCs w:val="24"/>
        </w:rPr>
      </w:pPr>
      <w:r>
        <w:rPr>
          <w:rFonts w:cs="Times New Roman" w:ascii="Times New Roman" w:hAnsi="Times New Roman"/>
          <w:b/>
          <w:sz w:val="24"/>
          <w:szCs w:val="24"/>
        </w:rPr>
        <w:t>Các Bên đã đọc, đồng ý và ký xác nhận nội dung Biên Bản Thanh Lý này.</w:t>
      </w:r>
    </w:p>
    <w:p>
      <w:pPr>
        <w:pStyle w:val="Normal"/>
        <w:spacing w:lineRule="auto" w:line="240"/>
        <w:ind w:left="720"/>
        <w:jc w:val="both"/>
        <w:rPr>
          <w:rFonts w:ascii="Times New Roman" w:hAnsi="Times New Roman" w:cs="Times New Roman"/>
          <w:b/>
          <w:sz w:val="24"/>
          <w:szCs w:val="24"/>
          <w:u w:val="single"/>
        </w:rPr>
      </w:pPr>
      <w:r>
        <w:rPr>
          <w:rFonts w:cs="Times New Roman" w:ascii="Times New Roman" w:hAnsi="Times New Roman"/>
          <w:b/>
          <w:sz w:val="24"/>
          <w:szCs w:val="24"/>
          <w:u w:val="single"/>
        </w:rPr>
      </w:r>
    </w:p>
    <w:tbl>
      <w:tblPr>
        <w:tblStyle w:val="TableGrid"/>
        <w:tblW w:w="5000" w:type="pct"/>
        <w:jc w:val="left"/>
        <w:tblInd w:w="0" w:type="dxa"/>
        <w:tblLayout w:type="fixed"/>
        <w:tblCellMar>
          <w:top w:w="0" w:type="dxa"/>
          <w:left w:w="108" w:type="dxa"/>
          <w:bottom w:w="0" w:type="dxa"/>
          <w:right w:w="108" w:type="dxa"/>
        </w:tblCellMar>
        <w:tblLook w:val="04a0" w:noHBand="0" w:noVBand="1" w:firstColumn="1" w:lastRow="0" w:lastColumn="0" w:firstRow="1"/>
      </w:tblPr>
      <w:tblGrid>
        <w:gridCol w:w="4533"/>
        <w:gridCol w:w="4537"/>
      </w:tblGrid>
      <w:tr>
        <w:trPr/>
        <w:tc>
          <w:tcPr>
            <w:tcW w:w="4533"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A</w:t>
            </w:r>
          </w:p>
        </w:tc>
        <w:tc>
          <w:tcPr>
            <w:tcW w:w="4537"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B</w:t>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tc>
      </w:tr>
    </w:tbl>
    <w:p>
      <w:pPr>
        <w:pStyle w:val="Normal"/>
        <w:spacing w:lineRule="auto" w:line="276" w:before="0" w:after="160"/>
        <w:jc w:val="both"/>
        <w:rPr>
          <w:rFonts w:ascii="Times New Roman" w:hAnsi="Times New Roman" w:cs="Times New Roman"/>
          <w:sz w:val="26"/>
          <w:szCs w:val="26"/>
        </w:rPr>
      </w:pPr>
      <w:r>
        <w:rPr>
          <w:rFonts w:cs="Times New Roman" w:ascii="Times New Roman" w:hAnsi="Times New Roman"/>
          <w:sz w:val="26"/>
          <w:szCs w:val="26"/>
        </w:rPr>
      </w:r>
    </w:p>
    <w:sectPr>
      <w:footerReference w:type="even" r:id="rId2"/>
      <w:footerReference w:type="default" r:id="rId3"/>
      <w:footerReference w:type="first" r:id="rId4"/>
      <w:footnotePr>
        <w:numFmt w:val="decimal"/>
      </w:footnotePr>
      <w:type w:val="nextPage"/>
      <w:pgSz w:w="11906" w:h="16838"/>
      <w:pgMar w:left="1701" w:right="1134" w:gutter="0" w:header="0" w:top="1134" w:footer="283"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rFonts w:ascii="Times New Roman" w:hAnsi="Times New Roman" w:cs="Times New Roman"/>
        </w:rPr>
      </w:pPr>
      <w:r>
        <w:rPr>
          <w:rStyle w:val="FootnoteCharacters"/>
        </w:rPr>
        <w:footnoteRef/>
      </w:r>
      <w:r>
        <w:rPr>
          <w:rFonts w:cs="Times New Roman" w:ascii="Times New Roman" w:hAnsi="Times New Roman"/>
        </w:rPr>
        <w:t xml:space="preserve"> </w:t>
      </w:r>
      <w:r>
        <w:rPr>
          <w:rFonts w:cs="Times New Roman" w:ascii="Times New Roman" w:hAnsi="Times New Roman"/>
        </w:rPr>
        <w:t>Chỉ khi Bên B chậm nộp Tiền Bảo Đảm mới điền đoạn này</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90" w:hanging="390"/>
      </w:pPr>
      <w:rPr/>
    </w:lvl>
    <w:lvl w:ilvl="1">
      <w:start w:val="1"/>
      <w:numFmt w:val="decimal"/>
      <w:lvlText w:val="%1.%2."/>
      <w:lvlJc w:val="left"/>
      <w:pPr>
        <w:tabs>
          <w:tab w:val="num" w:pos="0"/>
        </w:tabs>
        <w:ind w:left="720" w:hanging="72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1800" w:hanging="1800"/>
      </w:pPr>
      <w:rPr/>
    </w:lvl>
  </w:abstractNum>
  <w:abstractNum w:abstractNumId="2">
    <w:lvl w:ilvl="0">
      <w:start w:val="1"/>
      <w:numFmt w:val="bullet"/>
      <w:lvlText w:val="-"/>
      <w:lvlJc w:val="left"/>
      <w:pPr>
        <w:tabs>
          <w:tab w:val="num" w:pos="0"/>
        </w:tabs>
        <w:ind w:left="1800" w:hanging="360"/>
      </w:pPr>
      <w:rPr>
        <w:rFonts w:ascii="Times New Roman" w:hAnsi="Times New Roman" w:cs="Times New Roman" w:hint="default"/>
        <w:rFonts w:eastAsiaTheme="minorHAnsi"/>
      </w:rPr>
    </w:lvl>
    <w:lvl w:ilvl="1">
      <w:start w:val="1"/>
      <w:numFmt w:val="bullet"/>
      <w:lvlText w:val="o"/>
      <w:lvlJc w:val="left"/>
      <w:pPr>
        <w:tabs>
          <w:tab w:val="num" w:pos="0"/>
        </w:tabs>
        <w:ind w:left="2520" w:hanging="360"/>
      </w:pPr>
      <w:rPr>
        <w:rFonts w:ascii="Courier New" w:hAnsi="Courier New" w:cs="Courier New" w:hint="default"/>
      </w:rPr>
    </w:lvl>
    <w:lvl w:ilvl="2">
      <w:start w:val="1"/>
      <w:numFmt w:val="bullet"/>
      <w:lvlText w:val=""/>
      <w:lvlJc w:val="left"/>
      <w:pPr>
        <w:tabs>
          <w:tab w:val="num" w:pos="0"/>
        </w:tabs>
        <w:ind w:left="3240" w:hanging="360"/>
      </w:pPr>
      <w:rPr>
        <w:rFonts w:ascii="Wingdings" w:hAnsi="Wingdings" w:cs="Wingdings" w:hint="default"/>
      </w:rPr>
    </w:lvl>
    <w:lvl w:ilvl="3">
      <w:start w:val="1"/>
      <w:numFmt w:val="bullet"/>
      <w:lvlText w:val=""/>
      <w:lvlJc w:val="left"/>
      <w:pPr>
        <w:tabs>
          <w:tab w:val="num" w:pos="0"/>
        </w:tabs>
        <w:ind w:left="3960" w:hanging="360"/>
      </w:pPr>
      <w:rPr>
        <w:rFonts w:ascii="Symbol" w:hAnsi="Symbol" w:cs="Symbol" w:hint="default"/>
      </w:rPr>
    </w:lvl>
    <w:lvl w:ilvl="4">
      <w:start w:val="1"/>
      <w:numFmt w:val="bullet"/>
      <w:lvlText w:val="o"/>
      <w:lvlJc w:val="left"/>
      <w:pPr>
        <w:tabs>
          <w:tab w:val="num" w:pos="0"/>
        </w:tabs>
        <w:ind w:left="4680" w:hanging="360"/>
      </w:pPr>
      <w:rPr>
        <w:rFonts w:ascii="Courier New" w:hAnsi="Courier New" w:cs="Courier New" w:hint="default"/>
      </w:rPr>
    </w:lvl>
    <w:lvl w:ilvl="5">
      <w:start w:val="1"/>
      <w:numFmt w:val="bullet"/>
      <w:lvlText w:val=""/>
      <w:lvlJc w:val="left"/>
      <w:pPr>
        <w:tabs>
          <w:tab w:val="num" w:pos="0"/>
        </w:tabs>
        <w:ind w:left="5400" w:hanging="360"/>
      </w:pPr>
      <w:rPr>
        <w:rFonts w:ascii="Wingdings" w:hAnsi="Wingdings" w:cs="Wingdings" w:hint="default"/>
      </w:rPr>
    </w:lvl>
    <w:lvl w:ilvl="6">
      <w:start w:val="1"/>
      <w:numFmt w:val="bullet"/>
      <w:lvlText w:val=""/>
      <w:lvlJc w:val="left"/>
      <w:pPr>
        <w:tabs>
          <w:tab w:val="num" w:pos="0"/>
        </w:tabs>
        <w:ind w:left="6120" w:hanging="360"/>
      </w:pPr>
      <w:rPr>
        <w:rFonts w:ascii="Symbol" w:hAnsi="Symbol" w:cs="Symbol" w:hint="default"/>
      </w:rPr>
    </w:lvl>
    <w:lvl w:ilvl="7">
      <w:start w:val="1"/>
      <w:numFmt w:val="bullet"/>
      <w:lvlText w:val="o"/>
      <w:lvlJc w:val="left"/>
      <w:pPr>
        <w:tabs>
          <w:tab w:val="num" w:pos="0"/>
        </w:tabs>
        <w:ind w:left="6840" w:hanging="360"/>
      </w:pPr>
      <w:rPr>
        <w:rFonts w:ascii="Courier New" w:hAnsi="Courier New" w:cs="Courier New" w:hint="default"/>
      </w:rPr>
    </w:lvl>
    <w:lvl w:ilvl="8">
      <w:start w:val="1"/>
      <w:numFmt w:val="bullet"/>
      <w:lvlText w:val=""/>
      <w:lvlJc w:val="left"/>
      <w:pPr>
        <w:tabs>
          <w:tab w:val="num" w:pos="0"/>
        </w:tabs>
        <w:ind w:left="7560" w:hanging="360"/>
      </w:pPr>
      <w:rPr>
        <w:rFonts w:ascii="Wingdings" w:hAnsi="Wingdings" w:cs="Wingdings" w:hint="default"/>
      </w:rPr>
    </w:lvl>
  </w:abstractNum>
  <w:abstractNum w:abstractNumId="3">
    <w:lvl w:ilvl="0">
      <w:start w:val="1"/>
      <w:numFmt w:val="decimal"/>
      <w:lvlText w:val="2.%1."/>
      <w:lvlJc w:val="left"/>
      <w:pPr>
        <w:tabs>
          <w:tab w:val="num" w:pos="0"/>
        </w:tabs>
        <w:ind w:left="720" w:hanging="360"/>
      </w:pPr>
      <w:rPr>
        <w:b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6">
    <w:name w:val="heading 6"/>
    <w:basedOn w:val="Normal"/>
    <w:next w:val="Normal"/>
    <w:link w:val="Heading6Char"/>
    <w:uiPriority w:val="9"/>
    <w:semiHidden/>
    <w:unhideWhenUsed/>
    <w:qFormat/>
    <w:rsid w:val="003b29b4"/>
    <w:pPr>
      <w:keepNext w:val="true"/>
      <w:keepLines/>
      <w:spacing w:before="40" w:after="0"/>
      <w:outlineLvl w:val="5"/>
    </w:pPr>
    <w:rPr>
      <w:rFonts w:ascii="Calibri Light" w:hAnsi="Calibri Light" w:eastAsia="" w:cs="" w:asciiTheme="majorHAnsi" w:cstheme="majorBidi" w:eastAsiaTheme="majorEastAsia" w:hAnsiTheme="majorHAnsi"/>
      <w:color w:themeColor="accent1" w:themeShade="7f" w:val="1F4D78"/>
    </w:rPr>
  </w:style>
  <w:style w:type="character" w:styleId="DefaultParagraphFont" w:default="1">
    <w:name w:val="Default Paragraph Font"/>
    <w:uiPriority w:val="1"/>
    <w:semiHidden/>
    <w:unhideWhenUsed/>
    <w:qFormat/>
    <w:rPr/>
  </w:style>
  <w:style w:type="character" w:styleId="Heading6Char" w:customStyle="1">
    <w:name w:val="Heading 6 Char"/>
    <w:basedOn w:val="DefaultParagraphFont"/>
    <w:link w:val="Heading6"/>
    <w:uiPriority w:val="9"/>
    <w:semiHidden/>
    <w:qFormat/>
    <w:rsid w:val="003b29b4"/>
    <w:rPr>
      <w:rFonts w:ascii="Calibri Light" w:hAnsi="Calibri Light" w:eastAsia="" w:cs="" w:asciiTheme="majorHAnsi" w:cstheme="majorBidi" w:eastAsiaTheme="majorEastAsia" w:hAnsiTheme="majorHAnsi"/>
      <w:color w:themeColor="accent1" w:themeShade="7f" w:val="1F4D78"/>
    </w:rPr>
  </w:style>
  <w:style w:type="character" w:styleId="HeaderChar" w:customStyle="1">
    <w:name w:val="Header Char"/>
    <w:basedOn w:val="DefaultParagraphFont"/>
    <w:link w:val="Header"/>
    <w:uiPriority w:val="99"/>
    <w:qFormat/>
    <w:rsid w:val="002210f0"/>
    <w:rPr/>
  </w:style>
  <w:style w:type="character" w:styleId="FooterChar" w:customStyle="1">
    <w:name w:val="Footer Char"/>
    <w:basedOn w:val="DefaultParagraphFont"/>
    <w:link w:val="Footer"/>
    <w:uiPriority w:val="99"/>
    <w:qFormat/>
    <w:rsid w:val="002210f0"/>
    <w:rPr/>
  </w:style>
  <w:style w:type="character" w:styleId="CommentReference">
    <w:name w:val="annotation reference"/>
    <w:basedOn w:val="DefaultParagraphFont"/>
    <w:uiPriority w:val="99"/>
    <w:semiHidden/>
    <w:unhideWhenUsed/>
    <w:qFormat/>
    <w:rsid w:val="006f5cff"/>
    <w:rPr>
      <w:sz w:val="16"/>
      <w:szCs w:val="16"/>
    </w:rPr>
  </w:style>
  <w:style w:type="character" w:styleId="CommentTextChar" w:customStyle="1">
    <w:name w:val="Comment Text Char"/>
    <w:basedOn w:val="DefaultParagraphFont"/>
    <w:link w:val="CommentText"/>
    <w:uiPriority w:val="99"/>
    <w:semiHidden/>
    <w:qFormat/>
    <w:rsid w:val="006f5cff"/>
    <w:rPr>
      <w:sz w:val="20"/>
      <w:szCs w:val="20"/>
    </w:rPr>
  </w:style>
  <w:style w:type="character" w:styleId="CommentSubjectChar" w:customStyle="1">
    <w:name w:val="Comment Subject Char"/>
    <w:basedOn w:val="CommentTextChar"/>
    <w:link w:val="annotationsubject"/>
    <w:uiPriority w:val="99"/>
    <w:semiHidden/>
    <w:qFormat/>
    <w:rsid w:val="006f5cff"/>
    <w:rPr>
      <w:b/>
      <w:bCs/>
      <w:sz w:val="20"/>
      <w:szCs w:val="20"/>
    </w:rPr>
  </w:style>
  <w:style w:type="character" w:styleId="FootnoteTextChar" w:customStyle="1">
    <w:name w:val="Footnote Text Char"/>
    <w:basedOn w:val="DefaultParagraphFont"/>
    <w:link w:val="FootnoteText"/>
    <w:uiPriority w:val="99"/>
    <w:semiHidden/>
    <w:qFormat/>
    <w:rsid w:val="00fe5ed9"/>
    <w:rPr>
      <w:sz w:val="20"/>
      <w:szCs w:val="20"/>
    </w:rPr>
  </w:style>
  <w:style w:type="character" w:styleId="FootnoteCharacters">
    <w:name w:val="Footnote Characters"/>
    <w:uiPriority w:val="99"/>
    <w:semiHidden/>
    <w:unhideWhenUsed/>
    <w:qFormat/>
    <w:rsid w:val="00fe5ed9"/>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EndnoteTextChar" w:customStyle="1">
    <w:name w:val="Endnote Text Char"/>
    <w:basedOn w:val="DefaultParagraphFont"/>
    <w:link w:val="EndnoteText"/>
    <w:uiPriority w:val="99"/>
    <w:semiHidden/>
    <w:qFormat/>
    <w:rsid w:val="0067593e"/>
    <w:rPr>
      <w:sz w:val="20"/>
      <w:szCs w:val="20"/>
    </w:rPr>
  </w:style>
  <w:style w:type="character" w:styleId="EndnoteCharacters">
    <w:name w:val="Endnote Characters"/>
    <w:uiPriority w:val="99"/>
    <w:semiHidden/>
    <w:unhideWhenUsed/>
    <w:qFormat/>
    <w:rsid w:val="0067593e"/>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b2208d"/>
    <w:pPr>
      <w:spacing w:before="0" w:after="160"/>
      <w:ind w:left="72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2210f0"/>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2210f0"/>
    <w:pPr>
      <w:tabs>
        <w:tab w:val="clear" w:pos="720"/>
        <w:tab w:val="center" w:pos="4513" w:leader="none"/>
        <w:tab w:val="right" w:pos="9026" w:leader="none"/>
      </w:tabs>
      <w:spacing w:lineRule="auto" w:line="240" w:before="0" w:after="0"/>
    </w:pPr>
    <w:rPr/>
  </w:style>
  <w:style w:type="paragraph" w:styleId="Default" w:customStyle="1">
    <w:name w:val="Default"/>
    <w:qFormat/>
    <w:rsid w:val="00575b0e"/>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rPr>
  </w:style>
  <w:style w:type="paragraph" w:styleId="CommentText">
    <w:name w:val="annotation text"/>
    <w:basedOn w:val="Normal"/>
    <w:link w:val="CommentTextChar"/>
    <w:uiPriority w:val="99"/>
    <w:semiHidden/>
    <w:unhideWhenUsed/>
    <w:rsid w:val="006f5cff"/>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6f5cff"/>
    <w:pPr/>
    <w:rPr>
      <w:b/>
      <w:bCs/>
    </w:rPr>
  </w:style>
  <w:style w:type="paragraph" w:styleId="FootnoteText">
    <w:name w:val="footnote text"/>
    <w:basedOn w:val="Normal"/>
    <w:link w:val="FootnoteTextChar"/>
    <w:uiPriority w:val="99"/>
    <w:semiHidden/>
    <w:unhideWhenUsed/>
    <w:rsid w:val="00fe5ed9"/>
    <w:pPr>
      <w:spacing w:lineRule="auto" w:line="240" w:before="0" w:after="0"/>
    </w:pPr>
    <w:rPr>
      <w:sz w:val="20"/>
      <w:szCs w:val="20"/>
    </w:rPr>
  </w:style>
  <w:style w:type="paragraph" w:styleId="EndnoteText">
    <w:name w:val="endnote text"/>
    <w:basedOn w:val="Normal"/>
    <w:link w:val="EndnoteTextChar"/>
    <w:uiPriority w:val="99"/>
    <w:semiHidden/>
    <w:unhideWhenUsed/>
    <w:rsid w:val="0067593e"/>
    <w:pPr>
      <w:spacing w:lineRule="auto" w:line="240" w:before="0" w:after="0"/>
    </w:pPr>
    <w:rPr>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b2208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BD5F5-48B3-4A2A-981C-525BF6999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Application>LibreOffice/25.2.7.2$Linux_X86_64 LibreOffice_project/520$Build-2</Application>
  <AppVersion>15.0000</AppVersion>
  <Pages>2</Pages>
  <Words>816</Words>
  <Characters>3079</Characters>
  <CharactersWithSpaces>3827</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2025-08-08T09:15:00Z</dcterms:created>
  <dc:creator>Nguyễn Minh Phương (EWH-KD-NV)</dc:creator>
  <dc:description/>
  <dc:language>en-US</dc:language>
  <cp:lastModifiedBy/>
  <dcterms:modified xsi:type="dcterms:W3CDTF">2026-01-15T21:29:29Z</dcterms:modified>
  <cp:revision>38</cp:revision>
  <dc:subject/>
  <dc:title/>
</cp:coreProperties>
</file>

<file path=docProps/custom.xml><?xml version="1.0" encoding="utf-8"?>
<Properties xmlns="http://schemas.openxmlformats.org/officeDocument/2006/custom-properties" xmlns:vt="http://schemas.openxmlformats.org/officeDocument/2006/docPropsVTypes"/>
</file>