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6.xml" ContentType="application/vnd.openxmlformats-officedocument.wordprocessingml.footer+xml"/>
  <Override PartName="/word/theme/theme1.xml" ContentType="application/vnd.openxmlformats-officedocument.theme+xml"/>
  <Override PartName="/word/footer5.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 xml:space="preserve">Số: </w:t>
      </w:r>
      <w:r>
        <w:rPr>
          <w:b/>
          <w:bCs/>
          <w:color w:themeColor="text1" w:val="000000"/>
          <w:sz w:val="24"/>
          <w:szCs w:val="24"/>
        </w:rPr>
        <w:t>[Transaction.product.trade_code]</w:t>
      </w:r>
      <w:r>
        <w:rPr>
          <w:b/>
          <w:bCs/>
        </w:rPr>
        <w:t>/UTOPIA</w:t>
      </w:r>
      <w:r>
        <w:rPr>
          <w:b/>
          <w:bCs/>
          <w:color w:themeColor="text1" w:val="000000"/>
        </w:rPr>
        <w:t>/ĐKNV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Kính gửi: Công ty Cổ phần Bất động sản Utopia</w:t>
      </w:r>
    </w:p>
    <w:p>
      <w:pPr>
        <w:pStyle w:val="Normal"/>
        <w:spacing w:lineRule="exact" w:line="240" w:before="24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auto" w:line="264" w:before="0" w:after="0"/>
        <w:jc w:val="both"/>
        <w:rPr>
          <w:rFonts w:ascii="Times New Roman" w:hAnsi="Times New Roman"/>
          <w:b/>
          <w:i/>
          <w:i/>
          <w:iCs/>
          <w:color w:themeColor="text1" w:val="000000"/>
          <w:sz w:val="24"/>
          <w:szCs w:val="24"/>
          <w:u w:val="single"/>
        </w:rPr>
      </w:pPr>
      <w:r>
        <w:rPr>
          <w:rFonts w:ascii="Times New Roman" w:hAnsi="Times New Roman"/>
          <w:b/>
          <w:i/>
          <w:iCs/>
          <w:color w:themeColor="text1" w:val="000000"/>
          <w:sz w:val="24"/>
          <w:szCs w:val="24"/>
          <w:u w:val="single"/>
        </w:rPr>
        <w:t>[Trường hợp Khách hàng là cá nhân ghi nội dung như sau:]</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780"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83"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780"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780"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780"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83"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00" w:after="10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 xml:space="preserve">Dự án Làng Đá Bạc (Tên thương mại: </w:t>
      </w:r>
      <w:bookmarkStart w:id="1" w:name="_Hlk216968205"/>
      <w:bookmarkStart w:id="2" w:name="_Hlk216880941"/>
      <w:r>
        <w:rPr>
          <w:color w:themeColor="text1" w:val="000000"/>
        </w:rPr>
        <w:t>Utopia Villas &amp; Resort</w:t>
      </w:r>
      <w:bookmarkEnd w:id="1"/>
      <w:bookmarkEnd w:id="2"/>
      <w:r>
        <w:rPr>
          <w:color w:themeColor="text1" w:val="000000"/>
        </w:rPr>
        <w:t>),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76" w:before="100" w:after="100"/>
        <w:ind w:hanging="540" w:left="540"/>
        <w:rPr>
          <w:color w:themeColor="text1" w:val="000000"/>
        </w:rPr>
      </w:pPr>
      <w:r>
        <w:rPr>
          <w:b/>
          <w:bCs/>
          <w:color w:themeColor="text1" w:val="000000"/>
        </w:rPr>
        <w:t>Nguyện vọng đăng ký:</w:t>
      </w:r>
    </w:p>
    <w:p>
      <w:pPr>
        <w:pStyle w:val="Default"/>
        <w:numPr>
          <w:ilvl w:val="0"/>
          <w:numId w:val="3"/>
        </w:numPr>
        <w:spacing w:lineRule="auto" w:line="276" w:before="100" w:after="10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
                <w:bCs/>
                <w:color w:themeColor="text1" w:val="000000"/>
              </w:rPr>
            </w:pPr>
            <w:r>
              <w:rPr>
                <w:color w:themeColor="text1" w:val="000000"/>
              </w:rPr>
              <w:t>[Transaction.product.trade_code]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Mã Quy hoạch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color w:themeColor="text1" w:val="000000"/>
              </w:rPr>
            </w:pPr>
            <w:r>
              <w:rPr>
                <w:color w:themeColor="text1" w:val="000000"/>
              </w:rPr>
              <w:t>[Transaction.product.zone_code]</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vertAlign w:val="superscript"/>
              </w:rPr>
            </w:pPr>
            <w:r>
              <w:rPr>
                <w:color w:themeColor="text1" w:val="000000"/>
              </w:rPr>
              <w:t>[Transaction.product.lot_area]</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vAlign w:val="bottom"/>
          </w:tcPr>
          <w:p>
            <w:pPr>
              <w:pStyle w:val="Default"/>
              <w:spacing w:lineRule="auto" w:line="276" w:before="40" w:after="40"/>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vAlign w:val="center"/>
          </w:tcPr>
          <w:p>
            <w:pPr>
              <w:pStyle w:val="Default"/>
              <w:spacing w:lineRule="auto" w:line="276" w:before="40" w:after="40"/>
              <w:ind w:left="539"/>
              <w:jc w:val="both"/>
              <w:rPr>
                <w:bCs/>
                <w:color w:themeColor="text1" w:val="000000"/>
              </w:rPr>
            </w:pPr>
            <w:r>
              <w:rPr>
                <w:color w:themeColor="text1" w:val="000000"/>
              </w:rPr>
              <w:t>Đất nền</w:t>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1220" w:hRule="atLeast"/>
        </w:trPr>
        <w:tc>
          <w:tcPr>
            <w:tcW w:w="5035"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hỗ trợ lãi suất, vay vốn Ngân hàng được Chủ đầu tư chỉ định để thanh toán theo chính sách của Chủ Đầu Tư.</w:t>
            </w:r>
          </w:p>
        </w:tc>
        <w:tc>
          <w:tcPr>
            <w:tcW w:w="3757" w:type="dxa"/>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[Transaction.</w:t>
      </w:r>
      <w:r>
        <w:rPr>
          <w:b/>
          <w:bCs/>
          <w:i/>
          <w:iCs/>
          <w:color w:themeColor="text1" w:val="000000"/>
        </w:rPr>
        <w:t>product.origin_price</w:t>
      </w:r>
      <w:r>
        <w:rPr>
          <w:b/>
          <w:bCs/>
          <w:color w:themeColor="text1" w:val="000000"/>
        </w:rPr>
        <w:t>(type:currency)]</w:t>
      </w:r>
      <w:r>
        <w:rPr>
          <w:b/>
          <w:color w:themeColor="text1" w:val="000000"/>
        </w:rPr>
        <w:t xml:space="preserve"> đồng </w:t>
      </w:r>
      <w:r>
        <w:rPr>
          <w:b/>
          <w:i/>
          <w:iCs/>
          <w:color w:themeColor="text1" w:val="000000"/>
        </w:rPr>
        <w:t xml:space="preserve">(bằng chữ: </w:t>
      </w:r>
      <w:r>
        <w:rPr>
          <w:b/>
          <w:bCs/>
          <w:i/>
          <w:iCs/>
          <w:color w:themeColor="text1" w:val="000000"/>
        </w:rPr>
        <w:t>[Transaction.product.origin_price(type:number_to_words, lang:vi)] đồng</w:t>
      </w:r>
      <w:r>
        <w:rPr>
          <w:b/>
          <w:i/>
          <w:iCs/>
          <w:color w:themeColor="text1" w:val="000000"/>
        </w:rPr>
        <w:t>)</w:t>
      </w:r>
      <w:r>
        <w:rPr>
          <w:b/>
          <w:color w:themeColor="text1" w:val="000000"/>
        </w:rPr>
        <w:t xml:space="preserve"> (“Giá Bán”)</w:t>
      </w:r>
    </w:p>
    <w:p>
      <w:pPr>
        <w:pStyle w:val="Default"/>
        <w:spacing w:lineRule="auto" w:line="288" w:before="120" w:after="120"/>
        <w:ind w:left="547"/>
        <w:jc w:val="both"/>
        <w:rPr>
          <w:i/>
          <w:i/>
          <w:color w:themeColor="text1" w:val="000000"/>
        </w:rPr>
      </w:pPr>
      <w:r>
        <w:rPr>
          <w:i/>
          <w:color w:themeColor="text1" w:val="000000"/>
        </w:rPr>
        <w:t>Giá Bán Bất Động Sản đã bao gồm Giá trị Quyền Sử dụng đất, Thuế Giá Trị Gia Tăng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vốn/hỗ trợ vốn liên quan.</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0,03%/ngày (Bằng chữ: Không phẩy không ba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Hà Nội, [Transaction.date</w:t>
      </w:r>
      <w:r>
        <w:rPr>
          <w:rFonts w:eastAsia="Arial"/>
          <w:i/>
          <w:iCs/>
          <w:color w:themeColor="text1" w:val="000000"/>
          <w:sz w:val="24"/>
          <w:szCs w:val="24"/>
          <w:lang w:val="pt-BR"/>
        </w:rPr>
        <w:t>(type:date,format: ngày %d tháng %m năm %Y)</w:t>
      </w:r>
      <w:r>
        <w:rPr>
          <w:i/>
          <w:iCs/>
          <w:color w:themeColor="text1" w:val="000000"/>
        </w:rPr>
        <w:t>]</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b/>
          <w:bCs/>
          <w:color w:themeColor="text1" w:val="000000"/>
        </w:rPr>
      </w:pPr>
      <w:r>
        <w:rPr>
          <w:b/>
          <w:bCs/>
          <w:color w:themeColor="text1" w:val="000000"/>
        </w:rPr>
        <w:t>CÔNG TY CỔ PHẦN BẤT ĐỘNG SẢN UTOPIA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sectPr>
          <w:footerReference w:type="even" r:id="rId2"/>
          <w:footerReference w:type="default" r:id="rId3"/>
          <w:footerReference w:type="first" r:id="rId4"/>
          <w:type w:val="nextPage"/>
          <w:pgSz w:w="11906" w:h="16838"/>
          <w:pgMar w:left="1412" w:right="1140" w:gutter="0" w:header="0" w:top="1412" w:footer="244" w:bottom="1140"/>
          <w:pgNumType w:start="1" w:fmt="decimal"/>
          <w:formProt w:val="false"/>
          <w:textDirection w:val="lrTb"/>
          <w:docGrid w:type="default" w:linePitch="299" w:charSpace="0"/>
        </w:sectPr>
        <w:pStyle w:val="Default"/>
        <w:spacing w:lineRule="auto" w:line="312" w:before="120" w:after="120"/>
        <w:jc w:val="center"/>
        <w:rPr>
          <w:color w:themeColor="text1" w:val="000000"/>
        </w:rPr>
      </w:pPr>
      <w:bookmarkStart w:id="3" w:name="_Hlk218522047"/>
      <w:r>
        <w:rPr>
          <w:b/>
          <w:bCs/>
          <w:color w:themeColor="text1" w:val="000000"/>
        </w:rPr>
        <w:t>Trương Xuân Quý</w:t>
      </w:r>
      <w:bookmarkEnd w:id="3"/>
    </w:p>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color w:themeColor="text1" w:val="000000"/>
        </w:rPr>
        <w:t>Số:</w:t>
      </w:r>
      <w:r>
        <w:rPr>
          <w:b/>
          <w:bCs/>
          <w:color w:themeColor="text1" w:val="000000"/>
        </w:rPr>
        <w:t xml:space="preserve"> </w:t>
      </w:r>
      <w:r>
        <w:rPr>
          <w:b/>
          <w:bCs/>
          <w:color w:themeColor="text1" w:val="000000"/>
          <w:sz w:val="24"/>
          <w:szCs w:val="24"/>
        </w:rPr>
        <w:t>[Transaction.product.trade_code]</w:t>
      </w:r>
      <w:r>
        <w:rPr>
          <w:b/>
          <w:bCs/>
        </w:rPr>
        <w:t>/UTOPIA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w:t>
      </w:r>
      <w:r>
        <w:rPr>
          <w:i/>
          <w:iCs/>
          <w:color w:themeColor="text1" w:val="000000"/>
        </w:rPr>
        <w:t>[Transaction.date</w:t>
      </w:r>
      <w:r>
        <w:rPr>
          <w:rFonts w:eastAsia="Arial"/>
          <w:i/>
          <w:iCs/>
          <w:color w:themeColor="text1" w:val="000000"/>
          <w:sz w:val="24"/>
          <w:szCs w:val="24"/>
          <w:lang w:val="pt-BR"/>
        </w:rPr>
        <w:t>(type:date,format: ngày %d tháng %m năm %Y)</w:t>
      </w:r>
      <w:r>
        <w:rPr>
          <w:i/>
          <w:iCs/>
          <w:color w:themeColor="text1" w:val="000000"/>
        </w:rPr>
        <w:t>]</w:t>
      </w:r>
      <w:r>
        <w:rPr>
          <w:color w:themeColor="text1" w:val="000000"/>
        </w:rPr>
        <w:t xml:space="preserve"> tại Hà Nội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rFonts w:eastAsia="Arial"/>
          <w:color w:themeColor="text1" w:val="000000"/>
        </w:rPr>
        <w:t xml:space="preserve"> </w:t>
      </w:r>
      <w:bookmarkStart w:id="4" w:name="_Hlk217115927"/>
      <w:r>
        <w:rPr>
          <w:b/>
          <w:bCs/>
          <w:color w:themeColor="text1" w:val="000000"/>
        </w:rPr>
        <w:t>CỔ PHẦN BẤT ĐỘNG SẢN UTOPIA</w:t>
      </w:r>
      <w:bookmarkEnd w:id="4"/>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 xml:space="preserve">0111034043 do Sở Tài chính thành phố Hà Nội cấp lần đầu ngày 23/04/2025 </w:t>
            </w:r>
            <w:r>
              <w:rPr>
                <w:rFonts w:ascii="Times New Roman" w:hAnsi="Times New Roman"/>
                <w:sz w:val="24"/>
                <w:szCs w:val="24"/>
              </w:rPr>
              <w:t>và các lần sửa đổi bổ sung</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92 phố Võ Thị Sáu, phường Bạch Mai, thành phố Hà Nội</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0969991289</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info@utopia.com.vn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146768686868 tại Ngân hàng Thương mại Cổ phần Quân đội (MBbank) - Chi nhánh Thanh Xuân</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b/>
                <w:bCs/>
                <w:color w:themeColor="text1" w:val="000000"/>
                <w:sz w:val="24"/>
                <w:szCs w:val="24"/>
              </w:rPr>
            </w:pPr>
            <w:r>
              <w:rPr>
                <w:rFonts w:eastAsia="Arial" w:ascii="Times New Roman" w:hAnsi="Times New Roman"/>
                <w:b/>
                <w:bCs/>
                <w:color w:themeColor="text1" w:val="000000"/>
                <w:sz w:val="24"/>
                <w:szCs w:val="24"/>
              </w:rPr>
              <w:t>Ông Trương Xuân Quý</w:t>
            </w:r>
          </w:p>
        </w:tc>
      </w:tr>
      <w:tr>
        <w:trPr/>
        <w:tc>
          <w:tcPr>
            <w:tcW w:w="3506"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Tổng Giám đốc</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“Bên A”</w:t>
      </w:r>
      <w:r>
        <w:rPr>
          <w:i/>
          <w:iCs/>
          <w:color w:themeColor="text1" w:val="000000"/>
          <w:lang w:val="fr-FR"/>
        </w:rPr>
        <w:t>)</w:t>
      </w:r>
      <w:r>
        <w:rPr>
          <w:b/>
          <w:bCs/>
          <w:i/>
          <w:iCs/>
          <w:color w:themeColor="text1" w:val="000000"/>
          <w:lang w:val="fr-FR"/>
        </w:rPr>
        <w:t xml:space="preserve"> </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t>2. BÊN ĐƯỢC CUNG CẤP DỊCH VỤ</w:t>
      </w:r>
    </w:p>
    <w:p>
      <w:pPr>
        <w:pStyle w:val="Normal"/>
        <w:spacing w:before="0" w:after="0"/>
        <w:ind w:right="-187"/>
        <w:jc w:val="both"/>
        <w:rPr>
          <w:rFonts w:ascii="Times New Roman" w:hAnsi="Times New Roman"/>
          <w:b/>
          <w:bCs/>
          <w:sz w:val="24"/>
          <w:szCs w:val="24"/>
        </w:rPr>
      </w:pPr>
      <w:r>
        <w:rPr>
          <w:rFonts w:ascii="Times New Roman" w:hAnsi="Times New Roman"/>
          <w:b/>
          <w:bCs/>
          <w:sz w:val="24"/>
          <w:szCs w:val="24"/>
        </w:rPr>
      </w:r>
    </w:p>
    <w:tbl>
      <w:tblPr>
        <w:tblW w:w="9200" w:type="dxa"/>
        <w:jc w:val="left"/>
        <w:tblInd w:w="126" w:type="dxa"/>
        <w:tblLayout w:type="fixed"/>
        <w:tblCellMar>
          <w:top w:w="0" w:type="dxa"/>
          <w:left w:w="108" w:type="dxa"/>
          <w:bottom w:w="0" w:type="dxa"/>
          <w:right w:w="108" w:type="dxa"/>
        </w:tblCellMar>
        <w:tblLook w:val="04a0" w:noHBand="0" w:noVBand="1" w:firstColumn="1" w:lastRow="0" w:lastColumn="0" w:firstRow="1"/>
      </w:tblPr>
      <w:tblGrid>
        <w:gridCol w:w="3548"/>
        <w:gridCol w:w="281"/>
        <w:gridCol w:w="5371"/>
      </w:tblGrid>
      <w:tr>
        <w:trPr>
          <w:trHeight w:val="377" w:hRule="atLeast"/>
        </w:trPr>
        <w:tc>
          <w:tcPr>
            <w:tcW w:w="3548" w:type="dxa"/>
            <w:tcBorders/>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sz w:val="24"/>
                <w:szCs w:val="24"/>
              </w:rPr>
              <w:t>CCCD/CC số</w:t>
            </w:r>
          </w:p>
        </w:tc>
        <w:tc>
          <w:tcPr>
            <w:tcW w:w="281"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548" w:type="dxa"/>
            <w:tcBorders/>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548" w:type="dxa"/>
            <w:tcBorders/>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548" w:type="dxa"/>
            <w:tcBorders/>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1" w:type="dxa"/>
            <w:tcBorders/>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71"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4"/>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(Tên thương mại: Utopia Villas &amp; Resort), có địa chỉ tại </w:t>
      </w:r>
      <w:r>
        <w:rPr>
          <w:rFonts w:ascii="Times New Roman" w:hAnsi="Times New Roman"/>
          <w:color w:themeColor="text1" w:val="000000"/>
          <w:sz w:val="24"/>
          <w:szCs w:val="24"/>
          <w:lang w:val="fr-FR"/>
        </w:rPr>
        <w:t>xã Phú Thành, huyện Lạc Thủy, tỉnh Hoà Bình, Việt Nam (nay là xã An Nghĩa, tỉnh Phú Thọ, Việt Nam)</w:t>
      </w:r>
      <w:r>
        <w:rPr>
          <w:color w:themeColor="text1" w:val="000000"/>
          <w:lang w:val="fr-F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23"/>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6"/>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7"/>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6"/>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8"/>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Thỏa Thuận này là: [Transaction.origin_price(type:expression, expr:origin_price * 0.2, next:type:currency)]</w:t>
      </w:r>
      <w:r>
        <w:rPr>
          <w:rStyle w:val="FootnoteReference"/>
          <w:color w:themeColor="text1" w:val="000000"/>
        </w:rPr>
        <w:footnoteReference w:id="2"/>
      </w:r>
      <w:r>
        <w:rPr>
          <w:color w:themeColor="text1" w:val="000000"/>
        </w:rPr>
        <w:t xml:space="preserve"> đồng (</w:t>
      </w:r>
      <w:r>
        <w:rPr>
          <w:i/>
          <w:iCs/>
          <w:color w:themeColor="text1" w:val="000000"/>
        </w:rPr>
        <w:t xml:space="preserve">bằng chữ: [Transaction.origin_price(type:expression, expr:origin_price * 0.2, next:type:number_to_words, next:lang:vi)] đồng </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8"/>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8"/>
        </w:numPr>
        <w:tabs>
          <w:tab w:val="left" w:pos="720" w:leader="none"/>
        </w:tabs>
        <w:spacing w:lineRule="auto" w:line="276" w:before="60" w:after="0"/>
        <w:ind w:hanging="720" w:left="720"/>
        <w:jc w:val="both"/>
        <w:rPr>
          <w:color w:themeColor="text1" w:val="000000"/>
        </w:rPr>
      </w:pPr>
      <w:r>
        <w:rPr>
          <w:color w:themeColor="text1" w:val="000000"/>
        </w:rPr>
        <w:t>Bên B được miễn thanh toán Phí Dịch Vụ đối với trường hợp quy định tại các Điều 3.3 (a), Điều 3.3 (b), Điều 3.3 (d) của Thỏa Thuận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9"/>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10"/>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để thực hiện thủ tục nhận chuyển nhượng Bất Động Sản dự kiến vào ngày 31 tháng 03 năm 2026</w:t>
      </w:r>
      <w:r>
        <w:rPr>
          <w:b/>
          <w:bCs/>
        </w:rPr>
        <w:t xml:space="preserve">  </w:t>
      </w:r>
      <w:r>
        <w:rPr>
          <w:color w:themeColor="text1" w:val="000000"/>
        </w:rPr>
        <w:t xml:space="preserve">(sau đây gọi là </w:t>
      </w:r>
      <w:r>
        <w:rPr>
          <w:b/>
          <w:color w:themeColor="text1" w:val="000000"/>
        </w:rPr>
        <w:t>“Thời Gian Ký Hợp Đồng Giao Dịch Dự Kiến”</w:t>
      </w:r>
      <w:r>
        <w:rPr>
          <w:color w:themeColor="text1" w:val="000000"/>
        </w:rPr>
        <w:t xml:space="preserve">) hoặc theo thông báo bằng văn bản của Chủ Đầu Tư.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10"/>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14"/>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xml:space="preserve">) được tính bằng lãi suất 0,03%/ngày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14"/>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10"/>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10"/>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9"/>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9"/>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9"/>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9"/>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11"/>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Chủ Đầu Tư và theo mẫu Hợp Đồng Giao Dịch của Chủ Đầu Tư/Bên Chuyển Nhượng ban hành. </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Thực hiện đúng và đầy đủ việc nộp Tiền Bảo Đảm theo quy định tại Thỏa Thuận. Trường hợp Bên B không thực hiện hoặc thực hiện không đúng, đầy đủ việc nộp Tiền Bảo Đảm và/hoặc vi phạm bất kỳ nghĩa vụ tài chính nào với Bên A quá 15 (mười lăm) ngày kể từ ngày đến hạn theo quy định của Thỏa Thuận thì Bên A có quyền đơn phương chấm dứt Thỏa Thuận 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 (b) Thỏa Thuận, trừ trường hợp Hai Bên có thỏa thuận khác bằng văn bản.</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11"/>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Thỏa Thuận. Để làm rõ, tại thời điểm ký Hợp Đồng Giao Dịch, trường hợp các thông số diện tích tạm tính tăng/giảm so với thông số của Bất Động sản quy định tại Đơn Đăng Ký, Hai Bên sẽ thanh toán hoặc hoàn trả cho nhau khoản tiền chênh lệch dựa trên thông số Bên A/Chủ Đầu Tư cung cấp tại thời điểm ký Hợp Đồng Giao Dịch trong vòng 15 (mười lăm) ngày kể từ ngày ký Hợp Đồng Giao Dịch.</w:t>
      </w:r>
    </w:p>
    <w:p>
      <w:pPr>
        <w:pStyle w:val="Default"/>
        <w:numPr>
          <w:ilvl w:val="0"/>
          <w:numId w:val="11"/>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Cam kết bảo mật các nội dung Thỏa Thuận 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Thỏa Thuận chấm dứt hoặc hết hiệu lực. Trường hợp vi phạm quy định này, Bên B phải bồi thường toàn bộ thiệt hại, tổn thất thực tế phát sinh cho Bên A.</w:t>
      </w:r>
    </w:p>
    <w:p>
      <w:pPr>
        <w:pStyle w:val="Default"/>
        <w:numPr>
          <w:ilvl w:val="0"/>
          <w:numId w:val="11"/>
        </w:numPr>
        <w:tabs>
          <w:tab w:val="left" w:pos="720" w:leader="none"/>
        </w:tabs>
        <w:spacing w:lineRule="auto" w:line="276" w:before="120" w:after="120"/>
        <w:ind w:hanging="720" w:left="720"/>
        <w:jc w:val="both"/>
        <w:rPr>
          <w:color w:themeColor="text1" w:val="000000"/>
          <w:lang w:val="vi-VN"/>
        </w:rPr>
      </w:pPr>
      <w:r>
        <w:rPr>
          <w:color w:themeColor="text1" w:val="000000"/>
          <w:lang w:val="vi-VN"/>
        </w:rPr>
        <w:t>Trường hợp: (i) Bên B đơn phương chấm dứt Thỏa Thuận trái pháp luật và/hoặc trái với quy định tại Thỏa Thuận;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Thỏa Thuận trái quy định và thống nhất để Bên A xử lý Tiền Bảo Đảm theo quy định tại Điều 3.3 của Thỏa Thuận mà không có bất kỳ khiếu nại, khiếu kiện nào.</w:t>
      </w:r>
    </w:p>
    <w:p>
      <w:pPr>
        <w:pStyle w:val="Default"/>
        <w:numPr>
          <w:ilvl w:val="0"/>
          <w:numId w:val="11"/>
        </w:numPr>
        <w:tabs>
          <w:tab w:val="left" w:pos="720" w:leader="none"/>
        </w:tabs>
        <w:spacing w:lineRule="auto" w:line="276" w:before="100" w:after="10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Thỏa Thuận này là đầy đủ, chính xác và trung thực. Trường hợp Bên B vi phạm cam kết này, Bên B đồng ý rằng Bên A có quyền thực hiện bất </w:t>
      </w:r>
      <w:bookmarkStart w:id="5" w:name="_Hlk216444624"/>
      <w:r>
        <w:rPr>
          <w:color w:themeColor="text1" w:val="000000"/>
          <w:lang w:val="vi-VN"/>
        </w:rPr>
        <w:t>kỳ hoặc tất cả các quyền sau: (i) từ chối tiếp tục thực hiện giao dịch hoặc đơn phương chấm dứt giao dịch/Thoả Thuận này và/hoặc các giấy tờ, thỏa thuận khác có liên quan ký với Bên B (nếu có); và/hoặc (ii) yêu cầu Bên B chịu một khoản phạt được tính theo quy định tại Điều 3.3 (c) của Thỏa Thuận này; và/hoặc (iii) thực hiện các quyền khác mà Bên A có theo quy định của pháp luật Việt Nam. Để tránh hiểu nhầm, điều khoản này vẫn tiếp tục ràng buộc Bên B ngay cả khi Thỏa Thuận này đã chấm dứt hiệu lực. Bên B cam kết không khiếu nại, khiếu kiện gì về sau liên quan đến vấn đề này.</w:t>
      </w:r>
    </w:p>
    <w:p>
      <w:pPr>
        <w:pStyle w:val="Default"/>
        <w:spacing w:lineRule="auto" w:line="276" w:before="100" w:after="100"/>
        <w:ind w:hanging="720" w:left="720"/>
        <w:jc w:val="both"/>
        <w:rPr>
          <w:color w:themeColor="text1" w:val="000000"/>
          <w:lang w:val="vi-VN"/>
        </w:rPr>
      </w:pPr>
      <w:r>
        <w:rPr>
          <w:b/>
          <w:bCs/>
          <w:color w:themeColor="text1" w:val="000000"/>
          <w:lang w:val="vi-VN"/>
        </w:rPr>
        <w:t xml:space="preserve">Điều 3. Tiền bảo đảm và biện pháp bảo đảm </w:t>
      </w:r>
    </w:p>
    <w:p>
      <w:pPr>
        <w:pStyle w:val="Default"/>
        <w:numPr>
          <w:ilvl w:val="0"/>
          <w:numId w:val="15"/>
        </w:numPr>
        <w:spacing w:lineRule="auto" w:line="276" w:before="100" w:after="100"/>
        <w:ind w:hanging="720" w:left="720"/>
        <w:jc w:val="both"/>
        <w:rPr>
          <w:color w:themeColor="text1" w:val="000000"/>
        </w:rPr>
      </w:pPr>
      <w:r>
        <w:rPr>
          <w:b/>
          <w:bCs/>
          <w:color w:themeColor="text1" w:val="000000"/>
        </w:rPr>
        <w:t>Tiền Bảo Đảm:</w:t>
      </w:r>
    </w:p>
    <w:p>
      <w:pPr>
        <w:pStyle w:val="Default"/>
        <w:spacing w:lineRule="auto" w:line="276" w:before="100" w:after="10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[Transaction.origin_price(type:expression, expr:origin_price * 0.3, next:type:currency)] VNĐ </w:t>
      </w:r>
      <w:r>
        <w:rPr>
          <w:i/>
          <w:iCs/>
          <w:color w:themeColor="text1" w:val="000000"/>
        </w:rPr>
        <w:t xml:space="preserve">(bằng chữ: [Transaction.origin_price(type:expression, expr:origin_price * 0.3, next:type:number_to_words, next:lang:vi)] đồng) )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spacing w:lineRule="auto" w:line="276" w:before="100" w:after="100"/>
        <w:ind w:left="720"/>
        <w:jc w:val="both"/>
        <w:rPr>
          <w:color w:themeColor="text1" w:val="000000"/>
        </w:rPr>
      </w:pPr>
      <w:bookmarkStart w:id="6" w:name="_Hlk216444646"/>
      <w:r>
        <w:rPr>
          <w:color w:themeColor="text1" w:val="000000"/>
        </w:rPr>
        <w:t xml:space="preserve">Bên B đồng ý cho phép Bên A được sử dụng khoản Tiền Bảo Đảm này vào </w:t>
      </w:r>
      <w:bookmarkStart w:id="7" w:name="_Hlk216444846"/>
      <w:r>
        <w:rPr>
          <w:color w:themeColor="text1" w:val="000000"/>
        </w:rPr>
        <w:t>việc</w:t>
      </w:r>
      <w:bookmarkEnd w:id="7"/>
      <w:r>
        <w:rPr>
          <w:color w:themeColor="text1" w:val="000000"/>
        </w:rPr>
        <w:t xml:space="preserve"> tìm kiếm Bất Động Sản phù hợp với nguyện vọng của Bên B và các hoạt động sản xuất kinh doanh hợp pháp khác của Bên A.</w:t>
      </w:r>
      <w:bookmarkEnd w:id="6"/>
    </w:p>
    <w:p>
      <w:pPr>
        <w:pStyle w:val="Default"/>
        <w:numPr>
          <w:ilvl w:val="0"/>
          <w:numId w:val="15"/>
        </w:numPr>
        <w:spacing w:lineRule="auto" w:line="276" w:before="100" w:after="100"/>
        <w:ind w:hanging="720" w:left="720"/>
        <w:jc w:val="both"/>
        <w:rPr>
          <w:color w:themeColor="text1" w:val="000000"/>
        </w:rPr>
      </w:pPr>
      <w:r>
        <w:rPr>
          <w:b/>
          <w:bCs/>
          <w:color w:themeColor="text1" w:val="000000"/>
        </w:rPr>
        <w:t>Tiến độ, thời hạn thực hiện bảo đảm:</w:t>
      </w:r>
    </w:p>
    <w:p>
      <w:pPr>
        <w:pStyle w:val="Default"/>
        <w:numPr>
          <w:ilvl w:val="0"/>
          <w:numId w:val="12"/>
        </w:numPr>
        <w:tabs>
          <w:tab w:val="left" w:pos="720" w:leader="none"/>
        </w:tabs>
        <w:spacing w:lineRule="auto" w:line="276" w:before="100" w:after="10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00" w:after="100"/>
        <w:ind w:left="720"/>
        <w:jc w:val="both"/>
        <w:rPr>
          <w:color w:themeColor="text1" w:val="000000"/>
        </w:rPr>
      </w:pPr>
      <w:r>
        <w:rPr>
          <w:color w:themeColor="text1" w:val="000000"/>
        </w:rPr>
        <w:t>Tiền Bảo Đảm sẽ được Bên B thanh toán theo tiến độ sau:</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1: [Transaction.origin_price(type:expression, expr:origin_price * 0.26, next:type:currency)] đồng </w:t>
      </w:r>
      <w:r>
        <w:rPr>
          <w:i/>
          <w:iCs/>
          <w:color w:themeColor="text1" w:val="000000"/>
        </w:rPr>
        <w:t>(bằng chữ: [Transaction.origin_price(type:expression, expr:origin_price * 0.26, next:type:number_to_words, next:lang:vi)] đồng)</w:t>
      </w:r>
      <w:r>
        <w:rPr>
          <w:color w:themeColor="text1" w:val="000000"/>
        </w:rPr>
        <w:t xml:space="preserve"> ngay khi ký Thỏa Thuận  này.</w:t>
      </w:r>
    </w:p>
    <w:p>
      <w:pPr>
        <w:pStyle w:val="Default"/>
        <w:numPr>
          <w:ilvl w:val="0"/>
          <w:numId w:val="22"/>
        </w:numPr>
        <w:tabs>
          <w:tab w:val="left" w:pos="720" w:leader="none"/>
        </w:tabs>
        <w:spacing w:lineRule="auto" w:line="276" w:before="100" w:after="100"/>
        <w:jc w:val="both"/>
        <w:rPr>
          <w:color w:themeColor="text1" w:val="000000"/>
        </w:rPr>
      </w:pPr>
      <w:r>
        <w:rPr>
          <w:color w:themeColor="text1" w:val="000000"/>
        </w:rPr>
        <w:t xml:space="preserve">Đợt 2: [Transaction.origin_price(type:expression, expr:origin_price * 0.12, next:type:currency)] đồng </w:t>
      </w:r>
      <w:r>
        <w:rPr>
          <w:i/>
          <w:iCs/>
          <w:color w:themeColor="text1" w:val="000000"/>
        </w:rPr>
        <w:t>(bằng chữ: [[Transaction.origin_price(type:expression, expr:origin_price * 0.12, next:type:number_to_words, next:lang:vi)] đồng)</w:t>
      </w:r>
      <w:r>
        <w:rPr>
          <w:color w:themeColor="text1" w:val="000000"/>
        </w:rPr>
        <w:t xml:space="preserve"> trong vòng </w:t>
      </w:r>
      <w:r>
        <w:rPr>
          <w:color w:themeColor="text1" w:val="000000"/>
        </w:rPr>
        <w:t>90</w:t>
      </w:r>
      <w:r>
        <w:rPr>
          <w:color w:themeColor="text1" w:val="000000"/>
        </w:rPr>
        <w:t xml:space="preserve"> </w:t>
      </w:r>
      <w:r>
        <w:rPr>
          <w:rStyle w:val="FootnoteReference"/>
          <w:color w:themeColor="text1" w:val="000000"/>
        </w:rPr>
        <w:footnoteReference w:id="3"/>
      </w:r>
      <w:r>
        <w:rPr>
          <w:color w:themeColor="text1" w:val="000000"/>
        </w:rPr>
        <w:t xml:space="preserve"> ngày kể từ khi Hai Bên ký Thỏa Thuận này.</w:t>
      </w:r>
    </w:p>
    <w:p>
      <w:pPr>
        <w:pStyle w:val="Default"/>
        <w:spacing w:lineRule="auto" w:line="276" w:before="100" w:after="10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0,03%/ngày (</w:t>
      </w:r>
      <w:r>
        <w:rPr>
          <w:bCs/>
          <w:color w:themeColor="text1" w:val="000000"/>
        </w:rPr>
        <w:t xml:space="preserve">Không phẩy không ba </w:t>
      </w:r>
      <w:r>
        <w:rPr>
          <w:color w:themeColor="text1" w:val="000000"/>
          <w:spacing w:val="-2"/>
        </w:rPr>
        <w:t>phần trăm một ngày) trên số ngày chậm thanh toán.</w:t>
      </w:r>
    </w:p>
    <w:p>
      <w:pPr>
        <w:pStyle w:val="Default"/>
        <w:spacing w:lineRule="auto" w:line="276" w:before="100" w:after="10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00" w:after="10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5"/>
        </w:numPr>
        <w:tabs>
          <w:tab w:val="clear" w:pos="720"/>
          <w:tab w:val="left" w:pos="1134" w:leader="none"/>
        </w:tabs>
        <w:spacing w:lineRule="auto" w:line="312" w:before="100" w:after="10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5"/>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5"/>
        </w:numPr>
        <w:tabs>
          <w:tab w:val="clear" w:pos="720"/>
          <w:tab w:val="left" w:pos="1134" w:leader="none"/>
        </w:tabs>
        <w:spacing w:before="120" w:after="12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bookmarkEnd w:id="5"/>
    </w:p>
    <w:p>
      <w:pPr>
        <w:pStyle w:val="Default"/>
        <w:numPr>
          <w:ilvl w:val="0"/>
          <w:numId w:val="12"/>
        </w:numPr>
        <w:tabs>
          <w:tab w:val="left" w:pos="720" w:leader="none"/>
          <w:tab w:val="left" w:pos="900" w:leader="none"/>
        </w:tabs>
        <w:spacing w:lineRule="auto" w:line="276" w:before="120" w:after="120"/>
        <w:ind w:hanging="720" w:left="720"/>
        <w:jc w:val="both"/>
        <w:rPr>
          <w:color w:themeColor="text1" w:val="000000"/>
          <w:lang w:val="nb-NO"/>
        </w:rPr>
      </w:pPr>
      <w:r>
        <w:rPr>
          <w:b/>
          <w:bCs/>
          <w:color w:themeColor="text1" w:val="000000"/>
          <w:lang w:val="nb-NO"/>
        </w:rPr>
        <w:t>Thời Hạn Bảo Đảm:</w:t>
      </w:r>
      <w:r>
        <w:rPr>
          <w:color w:themeColor="text1" w:val="000000"/>
          <w:lang w:val="nb-NO"/>
        </w:rPr>
        <w:t xml:space="preserve"> Được tính kể từ khi Bên A nhận được Tiền Bảo Đảm cho đến khi Tiền Bảo Đảm được xử lý theo quy định tại Điều 3.3 Thỏa Thuận này.</w:t>
      </w:r>
    </w:p>
    <w:p>
      <w:pPr>
        <w:pStyle w:val="Default"/>
        <w:numPr>
          <w:ilvl w:val="0"/>
          <w:numId w:val="15"/>
        </w:numPr>
        <w:spacing w:lineRule="auto" w:line="276" w:before="120" w:after="120"/>
        <w:ind w:hanging="720" w:left="720"/>
        <w:jc w:val="both"/>
        <w:rPr>
          <w:color w:themeColor="text1" w:val="000000"/>
          <w:lang w:val="nb-NO"/>
        </w:rPr>
      </w:pPr>
      <w:r>
        <w:rPr>
          <w:b/>
          <w:bCs/>
          <w:color w:themeColor="text1" w:val="000000"/>
          <w:lang w:val="nb-NO"/>
        </w:rPr>
        <w:t>Xử lý Tiền Bảo Đảm:</w:t>
      </w:r>
    </w:p>
    <w:p>
      <w:pPr>
        <w:pStyle w:val="Default"/>
        <w:spacing w:lineRule="auto" w:line="276" w:before="120" w:after="120"/>
        <w:ind w:left="720"/>
        <w:jc w:val="both"/>
        <w:rPr>
          <w:color w:themeColor="text1" w:val="000000"/>
          <w:lang w:val="nb-NO"/>
        </w:rPr>
      </w:pPr>
      <w:r>
        <w:rPr>
          <w:color w:themeColor="text1" w:val="000000"/>
          <w:lang w:val="nb-NO"/>
        </w:rPr>
        <w:t>Trừ trường hợp Hai Bên có thỏa thuận khác, Tiền Bảo Đảm được xử lý như sau:</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lang w:val="nb-NO"/>
        </w:rPr>
        <w:t>Thông báo mời ký kết Hợp Đồng Giao Dịch</w:t>
      </w:r>
      <w:r>
        <w:rPr>
          <w:color w:themeColor="text1" w:val="000000"/>
          <w:lang w:val="nb-NO"/>
        </w:rPr>
        <w:t xml:space="preserve"> (“</w:t>
      </w:r>
      <w:r>
        <w:rPr>
          <w:b/>
          <w:bCs/>
          <w:color w:themeColor="text1" w:val="000000"/>
          <w:lang w:val="nb-NO"/>
        </w:rPr>
        <w:t>Giao Dịch Được Xác Nhận</w:t>
      </w:r>
      <w:r>
        <w:rPr>
          <w:color w:themeColor="text1" w:val="000000"/>
          <w:lang w:val="nb-NO"/>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120" w:after="120"/>
        <w:ind w:left="720"/>
        <w:jc w:val="both"/>
        <w:rPr>
          <w:color w:themeColor="text1" w:val="000000"/>
          <w:lang w:val="nb-NO"/>
        </w:rPr>
      </w:pPr>
      <w:r>
        <w:rPr>
          <w:color w:themeColor="text1" w:val="000000"/>
          <w:lang w:val="nb-NO"/>
        </w:rPr>
        <w:t>Trường hợp tại thời điểm Giao Dịch Được Xác Nhận nếu:</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w:t>
        <w:tab/>
      </w:r>
      <w:bookmarkStart w:id="8" w:name="_Hlk217659678"/>
      <w:r>
        <w:rPr>
          <w:color w:themeColor="text1" w:val="000000"/>
          <w:lang w:val="nb-NO"/>
        </w:rPr>
        <w:t xml:space="preserve">Số Tiền Bảo Đảm mà Bên B đã nộp nhiều hơn </w:t>
      </w:r>
      <w:bookmarkEnd w:id="8"/>
      <w:r>
        <w:rPr>
          <w:color w:themeColor="text1" w:val="000000"/>
          <w:lang w:val="nb-NO"/>
        </w:rPr>
        <w:t>số tiền phải thanh toán Đợt 1 của Hợp Đồng Giao Dịch thì Bên B đồng ý để Chủ Đầu Tư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120" w:after="120"/>
        <w:ind w:hanging="425" w:left="1134"/>
        <w:jc w:val="both"/>
        <w:rPr>
          <w:color w:themeColor="text1" w:val="000000"/>
          <w:lang w:val="nb-NO"/>
        </w:rPr>
      </w:pPr>
      <w:r>
        <w:rPr>
          <w:color w:themeColor="text1" w:val="000000"/>
          <w:lang w:val="nb-NO"/>
        </w:rPr>
        <w:t>(ii) Số Tiền Bảo Đảm mà Bên B đã nộp ít hơn Đợt 1 của Hợp Đồng Giao Dịch thì Bên B có trách nhiệm thanh toán đủ trước khi ký Hợp Đồng Giao Dịch.</w:t>
      </w:r>
    </w:p>
    <w:p>
      <w:pPr>
        <w:pStyle w:val="Default"/>
        <w:numPr>
          <w:ilvl w:val="0"/>
          <w:numId w:val="13"/>
        </w:numPr>
        <w:tabs>
          <w:tab w:val="left" w:pos="720" w:leader="none"/>
          <w:tab w:val="left" w:pos="900" w:leader="none"/>
        </w:tabs>
        <w:spacing w:lineRule="auto" w:line="276" w:before="120" w:after="120"/>
        <w:ind w:hanging="720" w:left="720"/>
        <w:jc w:val="both"/>
        <w:rPr>
          <w:color w:themeColor="text1" w:val="000000"/>
          <w:lang w:val="nb-NO"/>
        </w:rPr>
      </w:pPr>
      <w:r>
        <w:rPr>
          <w:color w:themeColor="text1" w:val="000000"/>
          <w:lang w:val="nb-NO"/>
        </w:rPr>
        <w:t>Trường hợp Bên B chậm ký Hợp Đồng Giao Dịch theo thời hạn tại thông báo của Chủ Đầu Tư/Bên A thì Bên B đồng ý sẽ trả cho Bên A một khoản tiền được tính theo lãi suất bằng 0,03%/ngày trên Tiền Bảo Đảm tính từ Ngày Đến Hạn Ký Hợp Đồng Giao Dịch theo thông báo của Chủ Đầu Tư/Bên A cho đến ngày Bên B thực tế ký Hợp Đồng Giao Dịch.</w:t>
      </w:r>
    </w:p>
    <w:p>
      <w:pPr>
        <w:pStyle w:val="Default"/>
        <w:numPr>
          <w:ilvl w:val="0"/>
          <w:numId w:val="13"/>
        </w:numPr>
        <w:tabs>
          <w:tab w:val="left" w:pos="720" w:leader="none"/>
        </w:tabs>
        <w:spacing w:lineRule="auto" w:line="276" w:before="120" w:after="120"/>
        <w:ind w:hanging="720" w:left="720"/>
        <w:jc w:val="both"/>
        <w:rPr>
          <w:color w:themeColor="text1" w:val="000000"/>
          <w:lang w:val="nb-NO"/>
        </w:rPr>
      </w:pPr>
      <w:r>
        <w:rPr>
          <w:color w:themeColor="text1" w:val="000000"/>
          <w:lang w:val="nb-NO"/>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chậm ký kết Hợp Đồng Giao Dịch trong thời hạn quá 15 (mười lăm) ngày 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Đơn phương chấm dứt Thỏa Thuận này; và</w:t>
      </w:r>
    </w:p>
    <w:p>
      <w:pPr>
        <w:pStyle w:val="Default"/>
        <w:numPr>
          <w:ilvl w:val="0"/>
          <w:numId w:val="16"/>
        </w:numPr>
        <w:spacing w:lineRule="auto" w:line="276" w:before="120" w:after="120"/>
        <w:ind w:hanging="425" w:left="1134"/>
        <w:jc w:val="both"/>
        <w:rPr>
          <w:color w:themeColor="text1" w:val="000000"/>
          <w:lang w:val="nb-NO"/>
        </w:rPr>
      </w:pPr>
      <w:r>
        <w:rPr>
          <w:color w:themeColor="text1" w:val="000000"/>
          <w:lang w:val="nb-NO"/>
        </w:rPr>
        <w:t xml:space="preserve">Khấu trừ từ Tiền Bảo Đảm mà Bên B đã nộp để thanh toán khoản Phí Dịch Vụ mà Bên B phải trả như quy định tại Điều 1.2 Thỏa Thuận này; và </w:t>
      </w:r>
    </w:p>
    <w:p>
      <w:pPr>
        <w:pStyle w:val="Default"/>
        <w:numPr>
          <w:ilvl w:val="0"/>
          <w:numId w:val="13"/>
        </w:numPr>
        <w:tabs>
          <w:tab w:val="left" w:pos="720" w:leader="none"/>
          <w:tab w:val="left" w:pos="900" w:leader="none"/>
        </w:tabs>
        <w:spacing w:lineRule="auto" w:line="276" w:before="80" w:after="80"/>
        <w:ind w:hanging="720" w:left="720"/>
        <w:jc w:val="both"/>
        <w:rPr>
          <w:strike/>
          <w:color w:themeColor="text1" w:val="000000"/>
          <w:spacing w:val="-2"/>
          <w:lang w:val="nb-NO"/>
        </w:rPr>
      </w:pPr>
      <w:r>
        <w:rPr>
          <w:color w:themeColor="text1" w:val="000000"/>
          <w:spacing w:val="-2"/>
          <w:lang w:val="nb-NO"/>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0,03%/ngày (</w:t>
      </w:r>
      <w:r>
        <w:rPr>
          <w:bCs/>
          <w:color w:themeColor="text1" w:val="000000"/>
          <w:spacing w:val="-2"/>
        </w:rPr>
        <w:t xml:space="preserve">Không phẩy không ba </w:t>
      </w:r>
      <w:r>
        <w:rPr>
          <w:color w:themeColor="text1" w:val="000000"/>
          <w:spacing w:val="-2"/>
          <w:lang w:val="nb-NO"/>
        </w:rPr>
        <w:t>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80" w:after="80"/>
        <w:ind w:left="720"/>
        <w:jc w:val="both"/>
        <w:rPr>
          <w:color w:themeColor="text1" w:val="000000"/>
          <w:lang w:val="nb-NO"/>
        </w:rPr>
      </w:pPr>
      <w:r>
        <w:rPr>
          <w:color w:themeColor="text1" w:val="000000"/>
          <w:lang w:val="nb-NO"/>
        </w:rPr>
        <w:t>Sau khi Bên A đã hoàn tất việc thanh toán cho Bên B khoản bồi thường nêu trên, Thỏa Thuận này được xem như tự động chấm dứt và thanh lý.</w:t>
      </w:r>
    </w:p>
    <w:p>
      <w:pPr>
        <w:pStyle w:val="Default"/>
        <w:spacing w:lineRule="auto" w:line="276" w:before="80" w:after="80"/>
        <w:ind w:hanging="720" w:left="720"/>
        <w:jc w:val="both"/>
        <w:rPr>
          <w:color w:themeColor="text1" w:val="000000"/>
          <w:lang w:val="nb-NO"/>
        </w:rPr>
      </w:pPr>
      <w:r>
        <w:rPr>
          <w:b/>
          <w:bCs/>
          <w:color w:themeColor="text1" w:val="000000"/>
          <w:lang w:val="nb-NO"/>
        </w:rPr>
        <w:t xml:space="preserve">Điều 4. Chuyển nhượng quyền và nghĩa vụ theo </w:t>
      </w:r>
      <w:r>
        <w:rPr>
          <w:b/>
          <w:color w:themeColor="text1" w:val="000000"/>
          <w:lang w:val="nb-NO"/>
        </w:rPr>
        <w:t xml:space="preserve">Thỏa Thuận </w:t>
      </w:r>
    </w:p>
    <w:p>
      <w:pPr>
        <w:pStyle w:val="Default"/>
        <w:spacing w:lineRule="auto" w:line="276" w:before="80" w:after="80"/>
        <w:ind w:left="720"/>
        <w:jc w:val="both"/>
        <w:rPr>
          <w:color w:themeColor="text1" w:val="000000"/>
          <w:lang w:val="nb-NO"/>
        </w:rPr>
      </w:pPr>
      <w:r>
        <w:rPr>
          <w:color w:themeColor="text1" w:val="000000"/>
          <w:lang w:val="nb-NO"/>
        </w:rPr>
        <w:t>Bên B có thể chuyển nhượng quyền và nghĩa vụ của mình theo Thỏa Thuận</w:t>
      </w:r>
      <w:r>
        <w:rPr>
          <w:color w:themeColor="text1" w:val="000000"/>
          <w:lang w:val="it-IT"/>
        </w:rPr>
        <w:t xml:space="preserve"> này </w:t>
      </w:r>
      <w:r>
        <w:rPr>
          <w:color w:themeColor="text1" w:val="000000"/>
          <w:lang w:val="nb-NO"/>
        </w:rPr>
        <w:t>cho một bên thứ ba (“</w:t>
      </w:r>
      <w:r>
        <w:rPr>
          <w:b/>
          <w:color w:themeColor="text1" w:val="000000"/>
          <w:lang w:val="nb-NO"/>
        </w:rPr>
        <w:t>Bên Nhận Chuyển Nhượng</w:t>
      </w:r>
      <w:r>
        <w:rPr>
          <w:color w:themeColor="text1" w:val="000000"/>
          <w:lang w:val="nb-NO"/>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lang w:val="nb-NO"/>
        </w:rPr>
        <w:t xml:space="preserve">Thỏa Thuận </w:t>
      </w:r>
      <w:r>
        <w:rPr>
          <w:color w:themeColor="text1" w:val="000000"/>
          <w:lang w:val="it-IT"/>
        </w:rPr>
        <w:t>(nếu có)</w:t>
      </w:r>
      <w:r>
        <w:rPr>
          <w:color w:themeColor="text1" w:val="000000"/>
          <w:lang w:val="nb-NO"/>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lang w:val="nb-NO"/>
        </w:rPr>
        <w:t>kể cả các biện pháp bảo đảm đi kèm Thỏa Thuận này.</w:t>
      </w:r>
    </w:p>
    <w:p>
      <w:pPr>
        <w:pStyle w:val="Default"/>
        <w:spacing w:lineRule="auto" w:line="276" w:before="80" w:after="80"/>
        <w:ind w:left="720"/>
        <w:jc w:val="both"/>
        <w:rPr>
          <w:color w:themeColor="text1" w:val="000000"/>
          <w:lang w:val="nb-NO"/>
        </w:rPr>
      </w:pPr>
      <w:r>
        <w:rPr>
          <w:color w:themeColor="text1" w:val="000000"/>
          <w:lang w:val="nb-NO"/>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80" w:after="80"/>
        <w:ind w:left="720"/>
        <w:jc w:val="both"/>
        <w:rPr>
          <w:b w:val="false"/>
          <w:color w:themeColor="text1" w:val="000000"/>
          <w:lang w:val="nb-NO"/>
        </w:rPr>
      </w:pPr>
      <w:r>
        <w:rPr>
          <w:b w:val="false"/>
          <w:color w:themeColor="text1" w:val="000000"/>
          <w:lang w:val="nb-NO"/>
        </w:rPr>
        <w:t xml:space="preserve">Bên B đồng ý rằng Bên A được quyền chuyển giao/chuyển nhượng quyền và nghĩa vụ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lang w:val="nb-NO"/>
        </w:rPr>
        <w:t>Thỏa Thuận</w:t>
      </w:r>
      <w:r>
        <w:rPr>
          <w:color w:themeColor="text1" w:val="000000"/>
          <w:lang w:val="nb-NO"/>
        </w:rPr>
        <w:t xml:space="preserve"> </w:t>
      </w:r>
      <w:r>
        <w:rPr>
          <w:b w:val="false"/>
          <w:color w:themeColor="text1" w:val="000000"/>
          <w:lang w:val="nb-NO"/>
        </w:rPr>
        <w:t>này.</w:t>
      </w:r>
    </w:p>
    <w:p>
      <w:pPr>
        <w:pStyle w:val="Heading1"/>
        <w:spacing w:lineRule="auto" w:line="276" w:before="80" w:after="80"/>
        <w:ind w:hanging="720" w:left="720"/>
        <w:rPr>
          <w:rFonts w:ascii="Times New Roman" w:hAnsi="Times New Roman"/>
          <w:color w:themeColor="text1" w:val="000000"/>
          <w:sz w:val="24"/>
          <w:szCs w:val="24"/>
        </w:rPr>
      </w:pPr>
      <w:r>
        <w:rPr>
          <w:rFonts w:ascii="Times New Roman" w:hAnsi="Times New Roman"/>
          <w:color w:themeColor="text1" w:val="000000"/>
          <w:sz w:val="24"/>
          <w:szCs w:val="24"/>
          <w:lang w:val="nb-NO"/>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nb-NO"/>
        </w:rPr>
        <w:t xml:space="preserve">Sự kiện bất khả kháng  </w:t>
      </w:r>
    </w:p>
    <w:p>
      <w:pPr>
        <w:pStyle w:val="Normal"/>
        <w:numPr>
          <w:ilvl w:val="0"/>
          <w:numId w:val="18"/>
        </w:numPr>
        <w:spacing w:before="80" w:after="8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8"/>
        </w:numPr>
        <w:spacing w:before="60" w:after="6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20"/>
        </w:numPr>
        <w:spacing w:lineRule="auto" w:line="276" w:before="60" w:after="60"/>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60" w:after="60"/>
        <w:ind w:hanging="720" w:left="720"/>
        <w:jc w:val="both"/>
        <w:rPr>
          <w:b/>
          <w:color w:themeColor="text1" w:val="000000"/>
          <w:lang w:val="it-IT"/>
        </w:rPr>
      </w:pPr>
      <w:r>
        <w:rPr>
          <w:b/>
          <w:color w:themeColor="text1" w:val="000000"/>
          <w:lang w:val="it-IT"/>
        </w:rPr>
        <w:t>Điều 6. Thông báo</w:t>
      </w:r>
    </w:p>
    <w:p>
      <w:pPr>
        <w:pStyle w:val="ListParagraph"/>
        <w:numPr>
          <w:ilvl w:val="0"/>
          <w:numId w:val="17"/>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Thỏa Thuận có quy định cụ thể khác hoặc Hai Bên có thỏa thuận khác bằng văn bản, tất cả các thỏa thuận, biên bản, thông báo, thư từ trao đổi, yêu cầu, chấp thuận... phát sinh từ và/hoặc liên quan đến Thỏa Thuận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Thỏa Thuận 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lang w:val="it-IT"/>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6"/>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7"/>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7"/>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60" w:after="6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21"/>
        </w:numPr>
        <w:spacing w:lineRule="auto" w:line="276" w:before="60" w:after="60"/>
        <w:ind w:hanging="720" w:left="720"/>
        <w:jc w:val="both"/>
        <w:rPr>
          <w:color w:themeColor="text1" w:val="000000"/>
          <w:spacing w:val="-4"/>
          <w:lang w:val="de-DE"/>
        </w:rPr>
      </w:pPr>
      <w:r>
        <w:rPr>
          <w:color w:themeColor="text1" w:val="000000"/>
          <w:spacing w:val="-4"/>
          <w:lang w:val="de-DE"/>
        </w:rPr>
        <w:t xml:space="preserve">Thỏa Thuận 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Thỏa Thuận này được thực hiện theo quy định của pháp luật Việt Nam, trường hợp có sự thay đổi của quy định pháp luật, Hai Bên sẽ thực hiện theo sự thay đổi đó (nếu có); (ii) việc ký kết và thực hiện Thỏa Thuận này do Hai Bên hoàn toàn tự nguyện; và các nghĩa vụ của Bên đó đã được mô tả cụ thể và thuộc loại nghĩa vụ có thể thi hành được bởi Bên đó.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Trong trường hợp một phần của Thỏa Thuận này bị vô hiệu, căn cứ vào nội dung và mục đích của Thỏa Thuận 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Thỏa Thuận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Trong quá trình thực hiện Thỏa Thuận,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21"/>
        </w:numPr>
        <w:spacing w:lineRule="auto" w:line="276" w:before="60" w:after="60"/>
        <w:ind w:hanging="720" w:left="720"/>
        <w:jc w:val="both"/>
        <w:rPr>
          <w:color w:themeColor="text1" w:val="000000"/>
          <w:lang w:val="de-DE"/>
        </w:rPr>
      </w:pPr>
      <w:r>
        <w:rPr>
          <w:color w:themeColor="text1" w:val="000000"/>
          <w:lang w:val="de-DE"/>
        </w:rPr>
        <w:t xml:space="preserve">Thỏa Thuận 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b/>
                <w:bCs/>
                <w:color w:themeColor="text1" w:val="000000"/>
              </w:rPr>
            </w:pPr>
            <w:r>
              <w:rPr>
                <w:b/>
                <w:bCs/>
                <w:color w:themeColor="text1" w:val="000000"/>
              </w:rPr>
              <w:t>BÊN A</w:t>
            </w:r>
          </w:p>
          <w:p>
            <w:pPr>
              <w:pStyle w:val="Default"/>
              <w:spacing w:lineRule="auto" w:line="276" w:before="120" w:after="120"/>
              <w:ind w:hanging="720" w:left="720"/>
              <w:jc w:val="center"/>
              <w:rPr>
                <w:b/>
                <w:bCs/>
                <w:color w:themeColor="text1" w:val="000000"/>
              </w:rPr>
            </w:pPr>
            <w:r>
              <w:rPr>
                <w:b/>
                <w:bCs/>
                <w:color w:themeColor="text1" w:val="000000"/>
              </w:rPr>
              <w:t>TỔNG GIÁM ĐỐC</w:t>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r>
          </w:p>
          <w:p>
            <w:pPr>
              <w:pStyle w:val="Default"/>
              <w:spacing w:lineRule="auto" w:line="276" w:before="120" w:after="120"/>
              <w:ind w:hanging="720" w:left="720"/>
              <w:jc w:val="center"/>
              <w:rPr>
                <w:b/>
                <w:bCs/>
                <w:color w:themeColor="text1" w:val="000000"/>
              </w:rPr>
            </w:pPr>
            <w:r>
              <w:rPr>
                <w:b/>
                <w:bCs/>
                <w:color w:themeColor="text1" w:val="000000"/>
              </w:rPr>
              <w:t>Trương Xuân Quý</w:t>
            </w:r>
          </w:p>
        </w:tc>
        <w:tc>
          <w:tcPr>
            <w:tcW w:w="4393" w:type="dxa"/>
            <w:tcBorders/>
          </w:tcPr>
          <w:p>
            <w:pPr>
              <w:pStyle w:val="Default"/>
              <w:spacing w:lineRule="auto" w:line="276" w:before="120" w:after="120"/>
              <w:ind w:hanging="720" w:left="720"/>
              <w:jc w:val="center"/>
              <w:rPr>
                <w:b/>
                <w:bCs/>
                <w:color w:themeColor="text1" w:val="000000"/>
              </w:rPr>
            </w:pPr>
            <w:r>
              <w:rPr>
                <w:b/>
                <w:bCs/>
                <w:color w:themeColor="text1" w:val="000000"/>
              </w:rPr>
              <w:t>BÊN B</w:t>
            </w:r>
            <w:bookmarkStart w:id="9" w:name="_Hlk218522068"/>
            <w:bookmarkStart w:id="10" w:name="_Hlk218608934"/>
            <w:bookmarkEnd w:id="9"/>
            <w:bookmarkEnd w:id="10"/>
          </w:p>
        </w:tc>
      </w:tr>
    </w:tbl>
    <w:p>
      <w:pPr>
        <w:pStyle w:val="Default"/>
        <w:spacing w:lineRule="auto" w:line="336"/>
        <w:jc w:val="center"/>
        <w:rPr>
          <w:color w:themeColor="text1" w:val="000000"/>
        </w:rPr>
      </w:pPr>
      <w:r>
        <w:rPr>
          <w:color w:themeColor="text1" w:val="000000"/>
        </w:rPr>
      </w:r>
    </w:p>
    <w:sectPr>
      <w:footerReference w:type="even" r:id="rId5"/>
      <w:footerReference w:type="default" r:id="rId6"/>
      <w:footerReference w:type="first" r:id="rId7"/>
      <w:footnotePr>
        <w:numFmt w:val="decimal"/>
      </w:footnotePr>
      <w:type w:val="nextPage"/>
      <w:pgSz w:w="11906" w:h="16838"/>
      <w:pgMar w:left="1412" w:right="1140" w:gutter="0" w:header="0" w:top="1412" w:footer="244"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Liberation Mono">
    <w:altName w:val="Courier New"/>
    <w:charset w:val="01"/>
    <w:family w:val="swiss"/>
    <w:pitch w:val="variable"/>
  </w:font>
  <w:font w:name="Wingdings">
    <w:charset w:val="02"/>
    <w:family w:val="roman"/>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3</w:t>
    </w:r>
    <w:r>
      <w:rPr>
        <w:rFonts w:ascii="Times New Roman" w:hAnsi="Times New Roman"/>
      </w:rPr>
      <w:fldChar w:fldCharType="end"/>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er6.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12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20% giá trị QSD đất</w:t>
      </w:r>
    </w:p>
  </w:footnote>
  <w:footnote w:id="3">
    <w:p>
      <w:pPr>
        <w:pStyle w:val="FootnoteText"/>
        <w:spacing w:before="0" w:after="200"/>
        <w:rPr/>
      </w:pPr>
      <w:r>
        <w:rPr>
          <w:rStyle w:val="FootnoteCharacters"/>
        </w:rPr>
        <w:footnoteRef/>
      </w:r>
      <w:r>
        <w:rPr/>
        <w:t xml:space="preserve"> </w:t>
      </w:r>
      <w:r>
        <w:rPr>
          <w:rFonts w:ascii="Times New Roman" w:hAnsi="Times New Roman"/>
        </w:rPr>
        <w:t>Theo CSBH của dự án</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10">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11">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3">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4">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5">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6">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7">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8">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9">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20">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1">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2">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2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5">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7">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bering>
</file>

<file path=word/settings.xml><?xml version="1.0" encoding="utf-8"?>
<w:settings xmlns:w="http://schemas.openxmlformats.org/wordprocessingml/2006/main">
  <w:zoom w:percent="12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user">
    <w:name w:val="Endnote Characters (user)"/>
    <w:qFormat/>
    <w:rPr>
      <w:vertAlign w:val="superscript"/>
    </w:rPr>
  </w:style>
  <w:style w:type="character" w:styleId="EndnoteCharacters">
    <w:name w:val="Endnote Characters"/>
    <w:qFormat/>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806cbb"/>
    <w:pPr>
      <w:spacing w:lineRule="auto" w:line="240" w:before="0" w:after="0"/>
      <w:jc w:val="center"/>
    </w:pPr>
    <w:rPr>
      <w:rFonts w:ascii="Times New Roman" w:hAnsi="Times New Roman"/>
      <w:b/>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er" Target="footer4.xml"/><Relationship Id="rId6" Type="http://schemas.openxmlformats.org/officeDocument/2006/relationships/footer" Target="footer5.xml"/><Relationship Id="rId7" Type="http://schemas.openxmlformats.org/officeDocument/2006/relationships/footer" Target="footer6.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565</TotalTime>
  <Application>LibreOffice/25.2.7.2$Linux_X86_64 LibreOffice_project/520$Build-2</Application>
  <AppVersion>15.0000</AppVersion>
  <Pages>14</Pages>
  <Words>6576</Words>
  <Characters>24053</Characters>
  <CharactersWithSpaces>30470</CharactersWithSpaces>
  <Paragraphs>222</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2025-12-26T04:15:00Z</dcterms:created>
  <dc:creator>Hiền 05 BPC</dc:creator>
  <dc:description/>
  <dc:language>en-US</dc:language>
  <cp:lastModifiedBy/>
  <cp:lastPrinted>2025-12-30T04:31:00Z</cp:lastPrinted>
  <dcterms:modified xsi:type="dcterms:W3CDTF">2026-01-15T14:33:56Z</dcterms:modified>
  <cp:revision>125</cp:revision>
  <dc:subject/>
  <dc:title/>
</cp:coreProperties>
</file>

<file path=docProps/custom.xml><?xml version="1.0" encoding="utf-8"?>
<Properties xmlns="http://schemas.openxmlformats.org/officeDocument/2006/custom-properties" xmlns:vt="http://schemas.openxmlformats.org/officeDocument/2006/docPropsVTypes"/>
</file>