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 xml:space="preserve">ĐƠN ĐĂNG KÝ NGUYỆN VỌNG </w:t>
      </w:r>
    </w:p>
    <w:p>
      <w:pPr>
        <w:pStyle w:val="Default"/>
        <w:jc w:val="center"/>
        <w:rPr>
          <w:color w:themeColor="text1" w:val="000000"/>
        </w:rPr>
      </w:pPr>
      <w:r>
        <w:rPr>
          <w:color w:themeColor="text1" w:val="000000"/>
        </w:rPr>
        <w:t xml:space="preserve">Số: </w:t>
      </w:r>
      <w:r>
        <w:rPr>
          <w:b/>
          <w:bCs/>
          <w:color w:themeColor="text1" w:val="000000"/>
          <w:sz w:val="24"/>
          <w:szCs w:val="24"/>
        </w:rPr>
        <w:t>G.B01.01</w:t>
      </w:r>
      <w:r>
        <w:rPr>
          <w:b/>
          <w:bCs/>
        </w:rPr>
        <w:t>/UTOPIA</w:t>
      </w:r>
      <w:r>
        <w:rPr>
          <w:b/>
          <w:bCs/>
          <w:color w:themeColor="text1" w:val="000000"/>
        </w:rPr>
        <w:t>/ĐKNV</w:t>
      </w:r>
    </w:p>
    <w:p>
      <w:pPr>
        <w:pStyle w:val="Default"/>
        <w:jc w:val="center"/>
        <w:rPr>
          <w:b/>
          <w:color w:themeColor="text1" w:val="000000"/>
        </w:rPr>
      </w:pPr>
      <w:r>
        <w:rPr>
          <w:b/>
          <w:color w:themeColor="text1" w:val="000000"/>
        </w:rPr>
      </w:r>
    </w:p>
    <w:p>
      <w:pPr>
        <w:pStyle w:val="Default"/>
        <w:jc w:val="center"/>
        <w:rPr>
          <w:b/>
          <w:bCs/>
          <w:color w:themeColor="text1" w:val="000000"/>
          <w:spacing w:val="-2"/>
          <w:shd w:fill="FFFFFF" w:val="clear"/>
        </w:rPr>
      </w:pPr>
      <w:r>
        <w:rPr>
          <w:b/>
          <w:bCs/>
          <w:color w:themeColor="text1" w:val="000000"/>
        </w:rPr>
        <w:t>Kính gửi: Công ty Cổ phần Bất động sản Utopia</w:t>
      </w:r>
    </w:p>
    <w:p>
      <w:pPr>
        <w:pStyle w:val="Normal"/>
        <w:spacing w:lineRule="exact" w:line="240" w:before="24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t>THÔNG TIN BÊN ĐĂNG KÝ:</w:t>
      </w:r>
    </w:p>
    <w:p>
      <w:pPr>
        <w:pStyle w:val="Normal"/>
        <w:spacing w:lineRule="auto" w:line="264" w:before="0" w:after="0"/>
        <w:jc w:val="both"/>
        <w:rPr>
          <w:rFonts w:ascii="Times New Roman" w:hAnsi="Times New Roman"/>
          <w:b/>
          <w:i/>
          <w:i/>
          <w:iCs/>
          <w:color w:themeColor="text1" w:val="000000"/>
          <w:sz w:val="24"/>
          <w:szCs w:val="24"/>
          <w:u w:val="single"/>
        </w:rPr>
      </w:pPr>
      <w:r>
        <w:rPr>
          <w:rFonts w:ascii="Times New Roman" w:hAnsi="Times New Roman"/>
          <w:b/>
          <w:i/>
          <w:iCs/>
          <w:color w:themeColor="text1" w:val="000000"/>
          <w:sz w:val="24"/>
          <w:szCs w:val="24"/>
          <w:u w:val="single"/>
        </w:rPr>
        <w:t>[Trường hợp Khách hàng là cá nhân ghi nội dung như sau:]</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Duy</w:t>
            </w:r>
          </w:p>
        </w:tc>
      </w:tr>
      <w:tr>
        <w:trPr>
          <w:trHeight w:val="377" w:hRule="atLeast"/>
        </w:trPr>
        <w:tc>
          <w:tcPr>
            <w:tcW w:w="3780"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0068686768</w:t>
            </w:r>
          </w:p>
        </w:tc>
      </w:tr>
      <w:tr>
        <w:trPr>
          <w:trHeight w:val="350" w:hRule="atLeast"/>
        </w:trPr>
        <w:tc>
          <w:tcPr>
            <w:tcW w:w="3780"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r>
      <w:tr>
        <w:trPr>
          <w:trHeight w:val="359" w:hRule="atLeast"/>
        </w:trPr>
        <w:tc>
          <w:tcPr>
            <w:tcW w:w="3780"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090920900</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anhduy.tran160106@gmail.com</w:t>
            </w:r>
          </w:p>
        </w:tc>
      </w:tr>
    </w:tbl>
    <w:p>
      <w:pPr>
        <w:pStyle w:val="Default"/>
        <w:spacing w:lineRule="auto" w:line="276" w:before="100" w:after="100"/>
        <w:jc w:val="both"/>
        <w:rPr>
          <w:color w:themeColor="text1" w:val="000000"/>
        </w:rPr>
      </w:pPr>
      <w:r>
        <w:rPr>
          <w:color w:themeColor="text1" w:val="000000"/>
        </w:rPr>
        <w:t xml:space="preserve">Sau khi tìm </w:t>
      </w:r>
      <w:bookmarkStart w:id="0" w:name="_Hlk134038208"/>
      <w:r>
        <w:rPr>
          <w:color w:themeColor="text1" w:val="000000"/>
        </w:rPr>
        <w:t>hiểu đầy đủ thông tin về</w:t>
      </w:r>
      <w:r>
        <w:rPr>
          <w:bCs/>
          <w:color w:themeColor="text1" w:val="000000"/>
          <w:lang w:val="pt-BR"/>
        </w:rPr>
        <w:t xml:space="preserve"> </w:t>
      </w:r>
      <w:r>
        <w:rPr>
          <w:color w:themeColor="text1" w:val="000000"/>
        </w:rPr>
        <w:t xml:space="preserve">Dự án Làng Đá Bạc (Tên thương mại: </w:t>
      </w:r>
      <w:bookmarkStart w:id="1" w:name="_Hlk216968205"/>
      <w:bookmarkStart w:id="2" w:name="_Hlk216880941"/>
      <w:r>
        <w:rPr>
          <w:color w:themeColor="text1" w:val="000000"/>
        </w:rPr>
        <w:t>Utopia Villas &amp; Resort</w:t>
      </w:r>
      <w:bookmarkEnd w:id="1"/>
      <w:bookmarkEnd w:id="2"/>
      <w:r>
        <w:rPr>
          <w:color w:themeColor="text1" w:val="000000"/>
        </w:rPr>
        <w:t>), có địa chỉ tại xã Phú Thành, huyện Lạc Thủy, tỉnh Hoà Bình (nay là xã An Nghĩa, tỉnh Phú Thọ) (</w:t>
      </w:r>
      <w:bookmarkEnd w:id="0"/>
      <w:r>
        <w:rPr>
          <w:b/>
          <w:color w:themeColor="text1" w:val="000000"/>
        </w:rPr>
        <w:t>“Dự Án”</w:t>
      </w:r>
      <w:r>
        <w:rPr>
          <w:color w:themeColor="text1" w:val="000000"/>
        </w:rPr>
        <w:t xml:space="preserve">) do Công ty </w:t>
      </w:r>
      <w:r>
        <w:rPr>
          <w:iCs/>
          <w:color w:themeColor="text1" w:val="000000"/>
        </w:rPr>
        <w:t>Cổ phần Phát triển hạ tầng Phú Thành</w:t>
      </w:r>
      <w:r>
        <w:rPr>
          <w:color w:themeColor="text1" w:val="000000"/>
        </w:rPr>
        <w:t xml:space="preserve"> làm chủ đầu tư (“</w:t>
      </w:r>
      <w:r>
        <w:rPr>
          <w:b/>
          <w:color w:themeColor="text1" w:val="000000"/>
        </w:rPr>
        <w:t>Chủ Đầu Tư</w:t>
      </w:r>
      <w:r>
        <w:rPr>
          <w:color w:themeColor="text1" w:val="000000"/>
        </w:rPr>
        <w:t xml:space="preserve">”), </w:t>
      </w:r>
      <w:r>
        <w:rPr>
          <w:rFonts w:eastAsia="Calibri"/>
          <w:color w:themeColor="text1" w:val="000000"/>
        </w:rPr>
        <w:t>(để làm rõ, Tôi/Chúng tôi hiểu rõ và đồng ý rằng Chủ Đầu Tư được hiểu bao gồm cả tổ chức nhận kế thừa/chuyển giao trên cơ sở chuyển nhượng Dự Án hoặc tổ chức</w:t>
      </w:r>
      <w:r>
        <w:rPr>
          <w:rFonts w:eastAsia="Calibri"/>
          <w:iCs/>
          <w:color w:themeColor="text1" w:val="000000"/>
        </w:rPr>
        <w:t>,</w:t>
      </w:r>
      <w:r>
        <w:rPr>
          <w:rFonts w:eastAsia="Calibri"/>
          <w:color w:themeColor="text1" w:val="000000"/>
        </w:rPr>
        <w:t xml:space="preserve"> cơ cấu lại </w:t>
      </w:r>
      <w:r>
        <w:rPr>
          <w:rFonts w:eastAsia="Calibri"/>
          <w:iCs/>
          <w:color w:themeColor="text1" w:val="000000"/>
        </w:rPr>
        <w:t>công ty (</w:t>
      </w:r>
      <w:r>
        <w:rPr>
          <w:rFonts w:eastAsia="Calibri"/>
          <w:color w:themeColor="text1" w:val="000000"/>
        </w:rPr>
        <w:t>chia, tách, hợp nhất, sáp nhập</w:t>
      </w:r>
      <w:r>
        <w:rPr>
          <w:rFonts w:eastAsia="Calibri"/>
          <w:iCs/>
          <w:color w:themeColor="text1" w:val="000000"/>
        </w:rPr>
        <w:t>)</w:t>
      </w:r>
      <w:r>
        <w:rPr>
          <w:rFonts w:eastAsia="Calibri"/>
          <w:color w:themeColor="text1" w:val="000000"/>
        </w:rPr>
        <w:t xml:space="preserve"> hoặc hình thức khác theo quy định của pháp luật Việt Nam), </w:t>
      </w:r>
      <w:r>
        <w:rPr>
          <w:color w:themeColor="text1" w:val="000000"/>
        </w:rPr>
        <w:t xml:space="preserve">Tôi/Chúng tôi có nguyện vọng được tham gia đăng ký chọn mua Bất Động Sản tại Dự Án (sau đây gọi là </w:t>
      </w:r>
      <w:r>
        <w:rPr>
          <w:b/>
          <w:bCs/>
          <w:color w:themeColor="text1" w:val="000000"/>
        </w:rPr>
        <w:t>“Bất Động Sản”</w:t>
      </w:r>
      <w:r>
        <w:rPr>
          <w:color w:themeColor="text1" w:val="000000"/>
        </w:rPr>
        <w:t xml:space="preserve">) ngay sau khi Bất Động Sản đủ điều kiện đưa vào kinh doanh theo quy định của pháp luật với nội dung cụ thể như sau: </w:t>
      </w:r>
    </w:p>
    <w:p>
      <w:pPr>
        <w:pStyle w:val="Default"/>
        <w:numPr>
          <w:ilvl w:val="0"/>
          <w:numId w:val="2"/>
        </w:numPr>
        <w:spacing w:lineRule="auto" w:line="276" w:before="100" w:after="100"/>
        <w:ind w:hanging="540" w:left="540"/>
        <w:rPr>
          <w:color w:themeColor="text1" w:val="000000"/>
        </w:rPr>
      </w:pPr>
      <w:r>
        <w:rPr>
          <w:b/>
          <w:bCs/>
          <w:color w:themeColor="text1" w:val="000000"/>
        </w:rPr>
        <w:t>Nguyện vọng đăng ký:</w:t>
      </w:r>
    </w:p>
    <w:p>
      <w:pPr>
        <w:pStyle w:val="Default"/>
        <w:numPr>
          <w:ilvl w:val="0"/>
          <w:numId w:val="3"/>
        </w:numPr>
        <w:spacing w:lineRule="auto" w:line="276" w:before="100" w:after="100"/>
        <w:ind w:hanging="540" w:left="540"/>
        <w:jc w:val="both"/>
        <w:rPr>
          <w:bCs/>
          <w:color w:themeColor="text1" w:val="000000"/>
        </w:rPr>
      </w:pPr>
      <w:r>
        <w:rPr>
          <w:bCs/>
          <w:color w:themeColor="text1" w:val="000000"/>
        </w:rPr>
        <w:t>Thông tin Bất Động Sản:</w:t>
      </w:r>
    </w:p>
    <w:tbl>
      <w:tblPr>
        <w:tblW w:w="8821" w:type="dxa"/>
        <w:jc w:val="left"/>
        <w:tblInd w:w="534" w:type="dxa"/>
        <w:tblLayout w:type="fixed"/>
        <w:tblCellMar>
          <w:top w:w="0" w:type="dxa"/>
          <w:left w:w="108" w:type="dxa"/>
          <w:bottom w:w="0" w:type="dxa"/>
          <w:right w:w="108" w:type="dxa"/>
        </w:tblCellMar>
        <w:tblLook w:val="0000" w:noHBand="0" w:noVBand="0" w:firstColumn="0" w:lastRow="0" w:lastColumn="0" w:firstRow="0"/>
      </w:tblPr>
      <w:tblGrid>
        <w:gridCol w:w="3343"/>
        <w:gridCol w:w="233"/>
        <w:gridCol w:w="5245"/>
      </w:tblGrid>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Bất Động Sản</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
                <w:bCs/>
                <w:color w:themeColor="text1" w:val="000000"/>
              </w:rPr>
            </w:pPr>
            <w:r>
              <w:rPr>
                <w:color w:themeColor="text1" w:val="000000"/>
              </w:rPr>
              <w:t>G.B01.01</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Quy hoạch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color w:themeColor="text1" w:val="000000"/>
              </w:rPr>
            </w:pPr>
            <w:r>
              <w:rPr>
                <w:color w:themeColor="text1" w:val="000000"/>
              </w:rPr>
              <w:t>B.BT-01-01</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i/>
                <w:i/>
                <w:color w:themeColor="text1" w:val="000000"/>
              </w:rPr>
            </w:pPr>
            <w:r>
              <w:rPr>
                <w:bCs/>
                <w:color w:themeColor="text1" w:val="000000"/>
              </w:rPr>
              <w:t>Diện tích đất (tạm tính)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vertAlign w:val="superscript"/>
              </w:rPr>
            </w:pPr>
            <w:r>
              <w:rPr>
                <w:color w:themeColor="text1" w:val="000000"/>
              </w:rPr>
              <w:t>296.10</w:t>
            </w:r>
            <w:r>
              <w:rPr>
                <w:bCs/>
                <w:color w:themeColor="text1" w:val="000000"/>
              </w:rPr>
              <w:t xml:space="preserve"> m</w:t>
            </w:r>
            <w:r>
              <w:rPr>
                <w:bCs/>
                <w:color w:themeColor="text1" w:val="000000"/>
                <w:vertAlign w:val="superscript"/>
              </w:rPr>
              <w:t>2</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Hình thức nhận bàn giao</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rPr>
            </w:pPr>
            <w:r>
              <w:rPr>
                <w:color w:themeColor="text1" w:val="000000"/>
              </w:rPr>
              <w:t>Đất nền</w:t>
            </w:r>
          </w:p>
        </w:tc>
      </w:tr>
    </w:tbl>
    <w:p>
      <w:pPr>
        <w:pStyle w:val="Default"/>
        <w:spacing w:lineRule="auto" w:line="288" w:before="120" w:after="120"/>
        <w:ind w:left="539"/>
        <w:jc w:val="both"/>
        <w:rPr>
          <w:bCs/>
          <w:i/>
          <w:i/>
          <w:color w:themeColor="text1" w:val="000000"/>
        </w:rPr>
      </w:pPr>
      <w:r>
        <w:rPr>
          <w:bCs/>
          <w:i/>
          <w:color w:themeColor="text1" w:val="000000"/>
        </w:rPr>
        <w:t>Ghi chú: Mã Bất Động Sản nêu trên có thể được Chủ Đầu Tư điều chỉnh</w:t>
      </w:r>
      <w:r>
        <w:rPr>
          <w:i/>
          <w:color w:themeColor="text1" w:val="000000"/>
        </w:rPr>
        <w:t xml:space="preserve"> theo yêu cầu, quyết định của cơ quan nhà nước có thẩm quyền và/hoặc theo hồ sơ Dự Án tuỳ từng thời điểm. </w:t>
      </w:r>
    </w:p>
    <w:p>
      <w:pPr>
        <w:pStyle w:val="Default"/>
        <w:numPr>
          <w:ilvl w:val="0"/>
          <w:numId w:val="3"/>
        </w:numPr>
        <w:spacing w:lineRule="auto" w:line="288" w:before="120" w:after="120"/>
        <w:ind w:hanging="540" w:left="539"/>
        <w:jc w:val="both"/>
        <w:rPr>
          <w:bCs/>
          <w:color w:themeColor="text1" w:val="000000"/>
        </w:rPr>
      </w:pPr>
      <w:r>
        <w:rPr>
          <w:bCs/>
          <w:color w:themeColor="text1" w:val="000000"/>
        </w:rPr>
        <w:t>Vay vốn Ngân hàng:</w:t>
      </w:r>
    </w:p>
    <w:tbl>
      <w:tblPr>
        <w:tblW w:w="8793" w:type="dxa"/>
        <w:jc w:val="left"/>
        <w:tblInd w:w="562" w:type="dxa"/>
        <w:tblLayout w:type="fixed"/>
        <w:tblCellMar>
          <w:top w:w="0" w:type="dxa"/>
          <w:left w:w="108" w:type="dxa"/>
          <w:bottom w:w="0" w:type="dxa"/>
          <w:right w:w="108" w:type="dxa"/>
        </w:tblCellMar>
        <w:tblLook w:val="04a0" w:noHBand="0" w:noVBand="1" w:firstColumn="1" w:lastRow="0" w:lastColumn="0" w:firstRow="1"/>
      </w:tblPr>
      <w:tblGrid>
        <w:gridCol w:w="5035"/>
        <w:gridCol w:w="3757"/>
      </w:tblGrid>
      <w:tr>
        <w:trPr>
          <w:trHeight w:val="467" w:hRule="atLeast"/>
        </w:trPr>
        <w:tc>
          <w:tcPr>
            <w:tcW w:w="5035"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NỘI DUNG</w:t>
            </w:r>
          </w:p>
        </w:tc>
        <w:tc>
          <w:tcPr>
            <w:tcW w:w="3757"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ĐĂNG KÝ</w:t>
            </w:r>
          </w:p>
        </w:tc>
      </w:tr>
      <w:tr>
        <w:trPr>
          <w:trHeight w:val="1220" w:hRule="atLeast"/>
        </w:trPr>
        <w:tc>
          <w:tcPr>
            <w:tcW w:w="5035"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993" w:leader="none"/>
              </w:tabs>
              <w:spacing w:lineRule="auto" w:line="288" w:before="0" w:after="0"/>
              <w:jc w:val="both"/>
              <w:rPr>
                <w:rFonts w:ascii="Times New Roman" w:hAnsi="Times New Roman"/>
                <w:color w:themeColor="text1" w:val="000000"/>
                <w:sz w:val="24"/>
                <w:szCs w:val="24"/>
              </w:rPr>
            </w:pPr>
            <w:r>
              <w:rPr>
                <w:rFonts w:ascii="Times New Roman" w:hAnsi="Times New Roman"/>
                <w:color w:themeColor="text1" w:val="000000"/>
                <w:sz w:val="24"/>
                <w:szCs w:val="24"/>
              </w:rPr>
              <w:t>Tham gia chương trình hỗ trợ lãi suất, vay vốn Ngân hàng được Chủ đầu tư chỉ định để thanh toán theo chính sách của Chủ Đầu Tư.</w:t>
            </w:r>
          </w:p>
        </w:tc>
        <w:tc>
          <w:tcPr>
            <w:tcW w:w="3757"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10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CÓ</w:t>
            </w:r>
          </w:p>
          <w:p>
            <w:pPr>
              <w:pStyle w:val="Normal"/>
              <w:tabs>
                <w:tab w:val="clear" w:pos="720"/>
                <w:tab w:val="left" w:pos="9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KHÔNG</w:t>
            </w:r>
          </w:p>
        </w:tc>
      </w:tr>
    </w:tbl>
    <w:p>
      <w:pPr>
        <w:pStyle w:val="Default"/>
        <w:numPr>
          <w:ilvl w:val="0"/>
          <w:numId w:val="2"/>
        </w:numPr>
        <w:spacing w:lineRule="auto" w:line="288" w:before="120" w:after="120"/>
        <w:ind w:hanging="547" w:left="547"/>
        <w:jc w:val="both"/>
        <w:rPr>
          <w:b/>
          <w:bCs/>
          <w:color w:themeColor="text1" w:val="000000"/>
        </w:rPr>
      </w:pPr>
      <w:r>
        <w:rPr>
          <w:b/>
          <w:bCs/>
          <w:color w:themeColor="text1" w:val="000000"/>
        </w:rPr>
        <w:t>Xác nhận và cam kết của Bên Đăng Ký:</w:t>
      </w:r>
    </w:p>
    <w:p>
      <w:pPr>
        <w:pStyle w:val="ListParagraph"/>
        <w:numPr>
          <w:ilvl w:val="0"/>
          <w:numId w:val="4"/>
        </w:numPr>
        <w:spacing w:lineRule="auto" w:line="288" w:before="120" w:after="120"/>
        <w:ind w:hanging="567" w:left="567"/>
        <w:contextualSpacing/>
        <w:jc w:val="both"/>
        <w:rPr>
          <w:rFonts w:ascii="Times New Roman" w:hAnsi="Times New Roman" w:eastAsia="Times New Roman"/>
          <w:b/>
          <w:bCs/>
          <w:color w:themeColor="text1" w:val="000000"/>
          <w:sz w:val="24"/>
          <w:szCs w:val="24"/>
        </w:rPr>
      </w:pPr>
      <w:r>
        <w:rPr>
          <w:rFonts w:eastAsia="Times New Roman" w:ascii="Times New Roman" w:hAnsi="Times New Roman"/>
          <w:b/>
          <w:bCs/>
          <w:color w:themeColor="text1" w:val="000000"/>
          <w:sz w:val="24"/>
          <w:szCs w:val="24"/>
        </w:rPr>
        <w:t>Nguyện vọng nêu tại Điều 1 được căn cứ vào các thông tin sau:</w:t>
      </w:r>
    </w:p>
    <w:p>
      <w:pPr>
        <w:pStyle w:val="Default"/>
        <w:numPr>
          <w:ilvl w:val="0"/>
          <w:numId w:val="5"/>
        </w:numPr>
        <w:spacing w:lineRule="auto" w:line="288" w:before="120" w:after="120"/>
        <w:ind w:hanging="567" w:left="567"/>
        <w:jc w:val="both"/>
        <w:rPr>
          <w:b/>
          <w:i/>
          <w:i/>
          <w:color w:themeColor="text1" w:val="000000"/>
        </w:rPr>
      </w:pPr>
      <w:r>
        <w:rPr>
          <w:b/>
          <w:bCs/>
          <w:color w:themeColor="text1" w:val="000000"/>
        </w:rPr>
        <w:t>Giá bán Bất Động Sản: 50.000.000.000</w:t>
      </w:r>
      <w:r>
        <w:rPr>
          <w:b/>
          <w:bCs/>
          <w:i/>
          <w:iCs/>
          <w:color w:themeColor="text1" w:val="000000"/>
        </w:rPr>
      </w:r>
      <w:r>
        <w:rPr>
          <w:b/>
          <w:bCs/>
          <w:color w:themeColor="text1" w:val="000000"/>
        </w:rPr>
      </w:r>
      <w:r>
        <w:rPr>
          <w:b/>
          <w:color w:themeColor="text1" w:val="000000"/>
        </w:rPr>
        <w:t xml:space="preserve"> đồng </w:t>
      </w:r>
      <w:r>
        <w:rPr>
          <w:b/>
          <w:i/>
          <w:iCs/>
          <w:color w:themeColor="text1" w:val="000000"/>
        </w:rPr>
        <w:t xml:space="preserve">(bằng chữ: </w:t>
      </w:r>
      <w:r>
        <w:rPr>
          <w:b/>
          <w:bCs/>
          <w:i/>
          <w:iCs/>
          <w:color w:themeColor="text1" w:val="000000"/>
        </w:rPr>
        <w:t xml:space="preserve">năm mươi tỷ </w:t>
      </w:r>
      <w:r>
        <w:rPr>
          <w:b/>
          <w:i/>
          <w:iCs/>
          <w:color w:themeColor="text1" w:val="000000"/>
        </w:rPr>
        <w:t>)</w:t>
      </w:r>
      <w:r>
        <w:rPr>
          <w:b/>
          <w:color w:themeColor="text1" w:val="000000"/>
        </w:rPr>
        <w:t xml:space="preserve"> (“Giá Bán”)</w:t>
      </w:r>
    </w:p>
    <w:p>
      <w:pPr>
        <w:pStyle w:val="Default"/>
        <w:spacing w:lineRule="auto" w:line="288" w:before="120" w:after="120"/>
        <w:ind w:left="547"/>
        <w:jc w:val="both"/>
        <w:rPr>
          <w:i/>
          <w:i/>
          <w:color w:themeColor="text1" w:val="000000"/>
        </w:rPr>
      </w:pPr>
      <w:r>
        <w:rPr>
          <w:i/>
          <w:color w:themeColor="text1" w:val="000000"/>
        </w:rPr>
        <w:t>Giá Bán Bất Động Sản đã bao gồm Giá trị Quyền Sử dụng đất, Thuế Giá Trị Gia Tăng (không tính trên tiền sử dụng đất nộp cho Nhà nước theo quy định của pháp luật Việt Nam) nhưng chưa bao gồm các loại thuế, phí, lệ phí liên quan đến Bất Động Sản mà Bên Đăng Ký sẽ phải nộp khi ký Hợp Đồng Giao Dịch với Chủ Đầu Tư theo quy định của pháp luật và Chủ Đầu Tư tại thời điểm ký kết.</w:t>
      </w:r>
    </w:p>
    <w:p>
      <w:pPr>
        <w:pStyle w:val="Default"/>
        <w:numPr>
          <w:ilvl w:val="0"/>
          <w:numId w:val="5"/>
        </w:numPr>
        <w:spacing w:lineRule="auto" w:line="288" w:before="120" w:after="120"/>
        <w:ind w:hanging="567" w:left="567"/>
        <w:jc w:val="both"/>
        <w:rPr>
          <w:b/>
          <w:bCs/>
          <w:color w:themeColor="text1" w:val="000000"/>
        </w:rPr>
      </w:pPr>
      <w:r>
        <w:rPr>
          <w:b/>
          <w:bCs/>
          <w:color w:themeColor="text1" w:val="000000"/>
        </w:rPr>
        <w:t>Phương án thanh toán Giá Bán Bất Động Sản dự kiến:</w:t>
      </w:r>
    </w:p>
    <w:p>
      <w:pPr>
        <w:pStyle w:val="Default"/>
        <w:spacing w:lineRule="auto" w:line="288" w:before="120" w:after="120"/>
        <w:ind w:left="567"/>
        <w:jc w:val="both"/>
        <w:rPr>
          <w:bCs/>
          <w:color w:themeColor="text1" w:val="000000"/>
        </w:rPr>
      </w:pPr>
      <w:r>
        <w:rPr>
          <w:bCs/>
          <w:color w:themeColor="text1" w:val="000000"/>
        </w:rPr>
        <w:t xml:space="preserve">Theo thông báo của Chủ Đầu Tư.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xác nhận đã hiểu rõ tình trạng pháp lý của Bất Động Sản và Dự Án.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Tôi/Chúng tôi đồng ý cho phép Quý Công ty được cung cấp các thông tin đăng ký nguyện vọng mua Bất Động Sản và nhu cầu vay vốn của Tôi/Chúng tôi cho Ngân hàng để thực hiện việc tư vấn và hỗ trợ các thủ tục vay vốn/hỗ trợ vốn liên quan.</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cam kết thực hiện đầy đủ các thủ tục theo quy định của pháp luật và theo thông báo của Quý Công ty và/hoặc Chủ Đầu Tư, đồng thời đáp ứng đầy đủ điều kiện theo quy định của pháp luật tại từng thời điểm về việc mua và sở hữu Bất Động Sản tại Việt Nam để hoàn thành việc ký kết </w:t>
      </w:r>
      <w:r>
        <w:rPr>
          <w:rFonts w:eastAsia="Times New Roman" w:ascii="Times New Roman" w:hAnsi="Times New Roman"/>
          <w:color w:themeColor="text1" w:val="000000"/>
          <w:sz w:val="24"/>
          <w:szCs w:val="24"/>
        </w:rPr>
        <w:t>Hợp Đồng Giao Dịch</w:t>
      </w:r>
      <w:r>
        <w:rPr>
          <w:rFonts w:eastAsia="Times New Roman" w:ascii="Times New Roman" w:hAnsi="Times New Roman"/>
          <w:b/>
          <w:color w:themeColor="text1" w:val="000000"/>
          <w:sz w:val="24"/>
          <w:szCs w:val="24"/>
        </w:rPr>
        <w:t xml:space="preserve"> </w:t>
      </w:r>
      <w:r>
        <w:rPr>
          <w:rFonts w:eastAsia="Times New Roman" w:ascii="Times New Roman" w:hAnsi="Times New Roman"/>
          <w:bCs/>
          <w:color w:themeColor="text1" w:val="000000"/>
          <w:sz w:val="24"/>
          <w:szCs w:val="24"/>
        </w:rPr>
        <w:t xml:space="preserve">hoặc văn bản có hình thức tương tự cùng các thoả thuận, tài liệu khác có liên quan (nếu có) với Quý Công ty/Chủ Đầu Tư theo mẫu do Quý Công ty/Chủ Đầu Tư ban hành khi Bất Động Sản đủ điều kiện đưa vào kinh doanh theo quy định của pháp luật.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eastAsia="Times New Roman" w:ascii="Times New Roman" w:hAnsi="Times New Roman"/>
          <w:bCs/>
          <w:color w:themeColor="text1" w:val="000000"/>
          <w:sz w:val="24"/>
          <w:szCs w:val="24"/>
        </w:rPr>
        <w:t>Để tránh hiểu nhầm, tại Đơn Đăng Ký Nguyện Vọng này Tôi/Chúng tôi xác nhận: (1) Đây</w:t>
      </w:r>
      <w:r>
        <w:rPr>
          <w:rFonts w:ascii="Times New Roman" w:hAnsi="Times New Roman"/>
          <w:color w:themeColor="text1" w:val="000000"/>
          <w:sz w:val="24"/>
          <w:szCs w:val="24"/>
        </w:rPr>
        <w:t xml:space="preserve"> là văn bản ghi nhận nguyện vọng mua Bất Động Sản của Tôi/Chúng tôi khi Bất Động Sản đủ điều kiện đưa vào kinh doanh theo quy định của pháp luật; (2) Các thỏa thuận/giao dịch khác giữa Tôi/Chúng tôi và Quý Công ty và/hoặc Chủ Đầu Tư (nếu có) trước và sau thời điểm ký Đơn Đăng Ký Nguyện Vọng này là các thỏa thuận/giao dịch hoàn toàn độc lập với nội dung tại Đơn Đăng Ký Nguyện Vọng này.</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bCs/>
          <w:color w:themeColor="text1" w:val="000000"/>
          <w:sz w:val="24"/>
          <w:szCs w:val="24"/>
        </w:rPr>
        <w:t xml:space="preserve">Trường hợp Tôi/Chúng tôi không thực hiện bất kỳ thủ tục nào theo quy định của pháp luật Việt Nam và theo thông báo của Quý Công ty và/hoặc Chủ Đầu Tư để hoàn thành việc ký kết Hợp Đồng Giao Dịch với Chủ Đầu Tư như nêu trên </w:t>
      </w:r>
      <w:r>
        <w:rPr>
          <w:rFonts w:ascii="Times New Roman" w:hAnsi="Times New Roman"/>
          <w:color w:themeColor="text1" w:val="000000"/>
          <w:sz w:val="24"/>
          <w:szCs w:val="24"/>
        </w:rPr>
        <w:t>thì đư</w:t>
      </w:r>
      <w:r>
        <w:rPr>
          <w:rFonts w:ascii="Times New Roman" w:hAnsi="Times New Roman"/>
          <w:color w:themeColor="text1" w:val="000000"/>
          <w:spacing w:val="-3"/>
          <w:sz w:val="24"/>
          <w:szCs w:val="24"/>
        </w:rPr>
        <w:t>ợ</w:t>
      </w:r>
      <w:r>
        <w:rPr>
          <w:rFonts w:ascii="Times New Roman" w:hAnsi="Times New Roman"/>
          <w:color w:themeColor="text1" w:val="000000"/>
          <w:sz w:val="24"/>
          <w:szCs w:val="24"/>
        </w:rPr>
        <w:t>c</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h</w:t>
      </w:r>
      <w:r>
        <w:rPr>
          <w:rFonts w:ascii="Times New Roman" w:hAnsi="Times New Roman"/>
          <w:color w:themeColor="text1" w:val="000000"/>
          <w:spacing w:val="-2"/>
          <w:sz w:val="24"/>
          <w:szCs w:val="24"/>
        </w:rPr>
        <w:t>i</w:t>
      </w:r>
      <w:r>
        <w:rPr>
          <w:rFonts w:ascii="Times New Roman" w:hAnsi="Times New Roman"/>
          <w:color w:themeColor="text1" w:val="000000"/>
          <w:spacing w:val="1"/>
          <w:sz w:val="24"/>
          <w:szCs w:val="24"/>
        </w:rPr>
        <w:t>ể</w:t>
      </w:r>
      <w:r>
        <w:rPr>
          <w:rFonts w:ascii="Times New Roman" w:hAnsi="Times New Roman"/>
          <w:color w:themeColor="text1" w:val="000000"/>
          <w:sz w:val="24"/>
          <w:szCs w:val="24"/>
        </w:rPr>
        <w:t>u</w:t>
      </w:r>
      <w:r>
        <w:rPr>
          <w:rFonts w:ascii="Times New Roman" w:hAnsi="Times New Roman"/>
          <w:color w:themeColor="text1" w:val="000000"/>
          <w:spacing w:val="5"/>
          <w:sz w:val="24"/>
          <w:szCs w:val="24"/>
        </w:rPr>
        <w:t xml:space="preserve"> </w:t>
      </w:r>
      <w:r>
        <w:rPr>
          <w:rFonts w:ascii="Times New Roman" w:hAnsi="Times New Roman"/>
          <w:color w:themeColor="text1" w:val="000000"/>
          <w:spacing w:val="-2"/>
          <w:sz w:val="24"/>
          <w:szCs w:val="24"/>
        </w:rPr>
        <w:t>l</w:t>
      </w:r>
      <w:r>
        <w:rPr>
          <w:rFonts w:ascii="Times New Roman" w:hAnsi="Times New Roman"/>
          <w:color w:themeColor="text1" w:val="000000"/>
          <w:sz w:val="24"/>
          <w:szCs w:val="24"/>
        </w:rPr>
        <w:t>à</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Tôi/Chúng tôi</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không</w:t>
      </w:r>
      <w:r>
        <w:rPr>
          <w:rFonts w:ascii="Times New Roman" w:hAnsi="Times New Roman"/>
          <w:color w:themeColor="text1" w:val="000000"/>
          <w:spacing w:val="1"/>
          <w:sz w:val="24"/>
          <w:szCs w:val="24"/>
        </w:rPr>
        <w:t xml:space="preserve"> c</w:t>
      </w:r>
      <w:r>
        <w:rPr>
          <w:rFonts w:ascii="Times New Roman" w:hAnsi="Times New Roman"/>
          <w:color w:themeColor="text1" w:val="000000"/>
          <w:sz w:val="24"/>
          <w:szCs w:val="24"/>
        </w:rPr>
        <w:t>òn n</w:t>
      </w:r>
      <w:r>
        <w:rPr>
          <w:rFonts w:ascii="Times New Roman" w:hAnsi="Times New Roman"/>
          <w:color w:themeColor="text1" w:val="000000"/>
          <w:spacing w:val="-2"/>
          <w:sz w:val="24"/>
          <w:szCs w:val="24"/>
        </w:rPr>
        <w:t>g</w:t>
      </w:r>
      <w:r>
        <w:rPr>
          <w:rFonts w:ascii="Times New Roman" w:hAnsi="Times New Roman"/>
          <w:color w:themeColor="text1" w:val="000000"/>
          <w:spacing w:val="2"/>
          <w:sz w:val="24"/>
          <w:szCs w:val="24"/>
        </w:rPr>
        <w:t>u</w:t>
      </w:r>
      <w:r>
        <w:rPr>
          <w:rFonts w:ascii="Times New Roman" w:hAnsi="Times New Roman"/>
          <w:color w:themeColor="text1" w:val="000000"/>
          <w:spacing w:val="-2"/>
          <w:sz w:val="24"/>
          <w:szCs w:val="24"/>
        </w:rPr>
        <w:t>y</w:t>
      </w:r>
      <w:r>
        <w:rPr>
          <w:rFonts w:ascii="Times New Roman" w:hAnsi="Times New Roman"/>
          <w:color w:themeColor="text1" w:val="000000"/>
          <w:spacing w:val="1"/>
          <w:sz w:val="24"/>
          <w:szCs w:val="24"/>
        </w:rPr>
        <w:t>ệ</w:t>
      </w:r>
      <w:r>
        <w:rPr>
          <w:rFonts w:ascii="Times New Roman" w:hAnsi="Times New Roman"/>
          <w:color w:themeColor="text1" w:val="000000"/>
          <w:sz w:val="24"/>
          <w:szCs w:val="24"/>
        </w:rPr>
        <w:t>n</w:t>
      </w:r>
      <w:r>
        <w:rPr>
          <w:rFonts w:ascii="Times New Roman" w:hAnsi="Times New Roman"/>
          <w:color w:themeColor="text1" w:val="000000"/>
          <w:spacing w:val="2"/>
          <w:sz w:val="24"/>
          <w:szCs w:val="24"/>
        </w:rPr>
        <w:t xml:space="preserve"> </w:t>
      </w:r>
      <w:r>
        <w:rPr>
          <w:rFonts w:ascii="Times New Roman" w:hAnsi="Times New Roman"/>
          <w:color w:themeColor="text1" w:val="000000"/>
          <w:spacing w:val="-2"/>
          <w:sz w:val="24"/>
          <w:szCs w:val="24"/>
        </w:rPr>
        <w:t>v</w:t>
      </w:r>
      <w:r>
        <w:rPr>
          <w:rFonts w:ascii="Times New Roman" w:hAnsi="Times New Roman"/>
          <w:color w:themeColor="text1" w:val="000000"/>
          <w:sz w:val="24"/>
          <w:szCs w:val="24"/>
        </w:rPr>
        <w:t>ọng</w:t>
      </w:r>
      <w:r>
        <w:rPr>
          <w:rFonts w:ascii="Times New Roman" w:hAnsi="Times New Roman"/>
          <w:color w:themeColor="text1" w:val="000000"/>
          <w:spacing w:val="1"/>
          <w:sz w:val="24"/>
          <w:szCs w:val="24"/>
        </w:rPr>
        <w:t xml:space="preserve"> </w:t>
      </w:r>
      <w:r>
        <w:rPr>
          <w:rFonts w:ascii="Times New Roman" w:hAnsi="Times New Roman"/>
          <w:color w:themeColor="text1" w:val="000000"/>
          <w:sz w:val="24"/>
          <w:szCs w:val="24"/>
        </w:rPr>
        <w:t xml:space="preserve">mua Bất Động Sản và Quý Công ty và/hoặc Chủ Đầu Tư </w:t>
      </w:r>
      <w:r>
        <w:rPr>
          <w:rFonts w:ascii="Times New Roman" w:hAnsi="Times New Roman"/>
          <w:bCs/>
          <w:color w:themeColor="text1" w:val="000000"/>
          <w:sz w:val="24"/>
          <w:szCs w:val="24"/>
        </w:rPr>
        <w:t xml:space="preserve">được toàn quyền môi giới, chào bán, bán, chuyển nhượng hoặc bất kỳ hình thức nào tương tự đối với Bất Động Sản mô tả tại Khoản a Điều 1 Đơn Đăng Ký </w:t>
      </w:r>
      <w:r>
        <w:rPr>
          <w:rFonts w:ascii="Times New Roman" w:hAnsi="Times New Roman"/>
          <w:color w:themeColor="text1" w:val="000000"/>
          <w:sz w:val="24"/>
          <w:szCs w:val="24"/>
        </w:rPr>
        <w:t xml:space="preserve">Nguyện Vọng </w:t>
      </w:r>
      <w:r>
        <w:rPr>
          <w:rFonts w:ascii="Times New Roman" w:hAnsi="Times New Roman"/>
          <w:bCs/>
          <w:color w:themeColor="text1" w:val="000000"/>
          <w:sz w:val="24"/>
          <w:szCs w:val="24"/>
        </w:rPr>
        <w:t xml:space="preserve">này cho bất kỳ bên thứ ba nào. Tôi/Chúng tôi cam kết không khiếu nại, khiếu kiện gì về sau.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Trường hợp Chủ Đầu Tư không thực hiện quyền nêu tại Điều 2.6 nêu trên và tiếp tục ký kết Hợp Đồng Giao Dịch với Tôi/Chúng tôi theo đề nghị của Tôi/Chúng tôi thì trước khi ký kết Hợp Đồng Giao Dịch,  Tôi/Chúng tôi có trách nhiệm thanh toán cho Chủ Đầu Tư một khoản tiền tương đương với tiền lãi trên số tiền phải thanh toán theo tiến độ theo thông báo của Quý Công ty/Chủ Đầu Tư</w:t>
      </w:r>
      <w:r>
        <w:rPr>
          <w:rFonts w:ascii="Times New Roman" w:hAnsi="Times New Roman"/>
          <w:bCs/>
          <w:color w:themeColor="text1" w:val="000000"/>
          <w:sz w:val="24"/>
          <w:szCs w:val="24"/>
        </w:rPr>
        <w:t xml:space="preserve"> với lãi suất 0,03%/ngày (Bằng chữ: Không phẩy không ba phần trăm một ngày) trên số ngày chậm thanh toán.</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Tôi/Chúng tôi cam kết có đủ quyền hạn, năng lực để ký và hoàn toàn chịu trách nhiệm về những cam kết của mình trong Đơn Đăng Ký Nguyện Vọng này.</w:t>
      </w:r>
    </w:p>
    <w:p>
      <w:pPr>
        <w:pStyle w:val="Default"/>
        <w:spacing w:lineRule="auto" w:line="288" w:before="120" w:after="120"/>
        <w:jc w:val="both"/>
        <w:rPr>
          <w:color w:themeColor="text1" w:val="000000"/>
        </w:rPr>
      </w:pPr>
      <w:r>
        <w:rPr>
          <w:b/>
          <w:bCs/>
          <w:color w:themeColor="text1" w:val="000000"/>
        </w:rPr>
        <w:t xml:space="preserve">Trân trọng cảm ơn./. </w:t>
      </w:r>
    </w:p>
    <w:p>
      <w:pPr>
        <w:pStyle w:val="Default"/>
        <w:jc w:val="right"/>
        <w:rPr>
          <w:color w:themeColor="text1" w:val="000000"/>
        </w:rPr>
      </w:pPr>
      <w:r>
        <w:rPr>
          <w:i/>
          <w:iCs/>
          <w:color w:themeColor="text1" w:val="000000"/>
        </w:rPr>
        <w:t>……</w:t>
      </w:r>
      <w:r>
        <w:rPr>
          <w:i/>
          <w:iCs/>
          <w:color w:themeColor="text1" w:val="000000"/>
        </w:rPr>
        <w:t>, ngày ….. tháng …… năm…..…</w:t>
      </w:r>
    </w:p>
    <w:p>
      <w:pPr>
        <w:pStyle w:val="Default"/>
        <w:jc w:val="center"/>
        <w:rPr>
          <w:b/>
          <w:bCs/>
          <w:color w:themeColor="text1" w:val="000000"/>
        </w:rPr>
      </w:pPr>
      <w:r>
        <w:rPr>
          <w:b/>
          <w:bCs/>
          <w:color w:themeColor="text1" w:val="000000"/>
        </w:rPr>
        <w:t xml:space="preserve">                                                                                          </w:t>
      </w:r>
      <w:r>
        <w:rPr>
          <w:b/>
          <w:bCs/>
          <w:color w:themeColor="text1" w:val="000000"/>
        </w:rPr>
        <w:t>BÊN ĐĂNG KÝ</w:t>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color w:themeColor="text1" w:val="000000"/>
        </w:rPr>
      </w:pPr>
      <w:r>
        <w:rPr>
          <w:color w:themeColor="text1" w:val="000000"/>
        </w:rPr>
      </w:r>
    </w:p>
    <w:p>
      <w:pPr>
        <w:pStyle w:val="Normal"/>
        <w:spacing w:lineRule="auto" w:line="240" w:before="0" w:after="0"/>
        <w:jc w:val="center"/>
        <w:rPr>
          <w:rFonts w:ascii="Times New Roman" w:hAnsi="Times New Roman"/>
          <w:b/>
          <w:bCs/>
          <w:color w:themeColor="text1" w:val="000000"/>
          <w:sz w:val="24"/>
          <w:szCs w:val="24"/>
        </w:rPr>
      </w:pPr>
      <w:r>
        <w:rPr>
          <w:rFonts w:ascii="Times New Roman" w:hAnsi="Times New Roman"/>
          <w:b/>
          <w:bCs/>
          <w:color w:themeColor="text1" w:val="000000"/>
          <w:sz w:val="24"/>
          <w:szCs w:val="24"/>
        </w:rPr>
        <w:t>XÁC NHẬN CỦA CÔNG TY</w:t>
      </w:r>
    </w:p>
    <w:p>
      <w:pPr>
        <w:pStyle w:val="Default"/>
        <w:spacing w:lineRule="auto" w:line="312" w:before="120" w:after="120"/>
        <w:jc w:val="both"/>
        <w:rPr>
          <w:color w:themeColor="text1" w:val="000000"/>
        </w:rPr>
      </w:pPr>
      <w:r>
        <w:rPr>
          <w:color w:themeColor="text1" w:val="000000"/>
        </w:rPr>
        <w:t>Chúng tôi đã nhận được Đơn Đăng Ký Nguyện Vọng của Quý Khách và sẽ nỗ lực tìm kiếm Bất Động Sản phù hợp với nguyện vọng của Quý Khách tại Đơn Đăng Ký Nguyện Vọng.</w:t>
      </w:r>
    </w:p>
    <w:p>
      <w:pPr>
        <w:pStyle w:val="Default"/>
        <w:spacing w:lineRule="auto" w:line="312" w:before="120" w:after="120"/>
        <w:jc w:val="center"/>
        <w:rPr>
          <w:b/>
          <w:bCs/>
          <w:color w:themeColor="text1" w:val="000000"/>
        </w:rPr>
      </w:pPr>
      <w:r>
        <w:rPr>
          <w:b/>
          <w:bCs/>
          <w:color w:themeColor="text1" w:val="000000"/>
        </w:rPr>
        <w:t>CÔNG TY CỔ PHẦN BẤT ĐỘNG SẢN UTOPIA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sectPr>
          <w:footerReference w:type="even" r:id="rId2"/>
          <w:footerReference w:type="default" r:id="rId3"/>
          <w:footerReference w:type="first" r:id="rId4"/>
          <w:headerReference w:type="default" r:id="rId14"/>
          <w:type w:val="nextPage"/>
          <w:pgSz w:w="11906" w:h="16838"/>
          <w:pgMar w:left="1412" w:right="1140" w:gutter="0" w:header="0" w:top="1412" w:footer="244" w:bottom="1140"/>
          <w:pgNumType w:start="1" w:fmt="decimal"/>
          <w:formProt w:val="false"/>
          <w:textDirection w:val="lrTb"/>
          <w:docGrid w:type="default" w:linePitch="299" w:charSpace="0"/>
        </w:sectPr>
        <w:pStyle w:val="Default"/>
        <w:spacing w:lineRule="auto" w:line="312" w:before="120" w:after="120"/>
        <w:jc w:val="center"/>
        <w:rPr>
          <w:color w:themeColor="text1" w:val="000000"/>
        </w:rPr>
      </w:pPr>
      <w:bookmarkStart w:id="3" w:name="_Hlk218522047"/>
      <w:r>
        <w:rPr>
          <w:b/>
          <w:bCs/>
          <w:color w:themeColor="text1" w:val="000000"/>
        </w:rPr>
        <w:t>Trương Xuân Quý</w:t>
      </w:r>
      <w:bookmarkEnd w:id="3"/>
    </w:p>
    <w:p>
      <w:pPr>
        <w:pStyle w:val="Default"/>
        <w:spacing w:lineRule="auto" w:line="276"/>
        <w:jc w:val="center"/>
        <w:rPr>
          <w:color w:themeColor="text1" w:val="000000"/>
        </w:rPr>
      </w:pPr>
      <w:r>
        <w:rPr>
          <w:b/>
          <w:bCs/>
          <w:color w:themeColor="text1" w:val="000000"/>
        </w:rPr>
        <w:t>CỘNG HÒA XÃ HỘI CHỦ NGHĨA VIỆT NAM</w:t>
      </w:r>
    </w:p>
    <w:p>
      <w:pPr>
        <w:pStyle w:val="Default"/>
        <w:spacing w:lineRule="auto" w:line="276"/>
        <w:jc w:val="center"/>
        <w:rPr>
          <w:color w:themeColor="text1" w:val="000000"/>
        </w:rPr>
      </w:pPr>
      <w:r>
        <w:rPr>
          <w:b/>
          <w:bCs/>
          <w:color w:themeColor="text1" w:val="000000"/>
        </w:rPr>
        <w:t>Độc lập – Tự do – Hạnh phúc</w:t>
      </w:r>
    </w:p>
    <w:p>
      <w:pPr>
        <w:pStyle w:val="Default"/>
        <w:spacing w:lineRule="auto" w:line="276"/>
        <w:jc w:val="center"/>
        <w:rPr>
          <w:b/>
          <w:bCs/>
          <w:color w:themeColor="text1" w:val="000000"/>
        </w:rPr>
      </w:pPr>
      <w:r>
        <w:rPr>
          <w:b/>
          <w:bCs/>
          <w:color w:themeColor="text1" w:val="000000"/>
        </w:rPr>
        <w:t>-------o0o------</w:t>
      </w:r>
    </w:p>
    <w:p>
      <w:pPr>
        <w:pStyle w:val="Default"/>
        <w:spacing w:lineRule="auto" w:line="276" w:before="240" w:after="0"/>
        <w:jc w:val="center"/>
        <w:rPr>
          <w:b/>
          <w:bCs/>
          <w:color w:themeColor="text1" w:val="000000"/>
          <w:sz w:val="28"/>
          <w:szCs w:val="28"/>
        </w:rPr>
      </w:pPr>
      <w:r>
        <w:rPr>
          <w:b/>
          <w:bCs/>
          <w:color w:themeColor="text1" w:val="000000"/>
          <w:sz w:val="28"/>
          <w:szCs w:val="28"/>
        </w:rPr>
        <w:t>THỎA THUẬN THỰC HIỆN NGUYỆN VỌNG</w:t>
      </w:r>
    </w:p>
    <w:p>
      <w:pPr>
        <w:pStyle w:val="Default"/>
        <w:spacing w:lineRule="auto" w:line="276" w:before="0" w:after="120"/>
        <w:jc w:val="center"/>
        <w:rPr>
          <w:b/>
          <w:color w:themeColor="text1" w:val="000000"/>
        </w:rPr>
      </w:pPr>
      <w:r>
        <w:rPr>
          <w:color w:themeColor="text1" w:val="000000"/>
        </w:rPr>
        <w:t>Số:</w:t>
      </w:r>
      <w:r>
        <w:rPr>
          <w:b/>
          <w:bCs/>
          <w:color w:themeColor="text1" w:val="000000"/>
        </w:rPr>
        <w:t xml:space="preserve"> Mã Căn TM</w:t>
      </w:r>
      <w:r>
        <w:rPr>
          <w:b/>
          <w:bCs/>
        </w:rPr>
        <w:t>/UTOPIA</w:t>
      </w:r>
    </w:p>
    <w:p>
      <w:pPr>
        <w:pStyle w:val="Default"/>
        <w:spacing w:lineRule="auto" w:line="276" w:before="240" w:after="0"/>
        <w:ind w:right="-5"/>
        <w:jc w:val="both"/>
        <w:rPr>
          <w:color w:themeColor="text1" w:val="000000"/>
        </w:rPr>
      </w:pPr>
      <w:r>
        <w:rPr>
          <w:bCs/>
          <w:color w:themeColor="text1" w:val="000000"/>
        </w:rPr>
        <w:t>THỎA THUẬN THỰC HIỆN NGUYỆN VỌNG</w:t>
      </w:r>
      <w:r>
        <w:rPr>
          <w:color w:themeColor="text1" w:val="000000"/>
        </w:rPr>
        <w:t xml:space="preserve"> này (“</w:t>
      </w:r>
      <w:r>
        <w:rPr>
          <w:b/>
          <w:color w:themeColor="text1" w:val="000000"/>
        </w:rPr>
        <w:t>Thỏa Thuận</w:t>
      </w:r>
      <w:r>
        <w:rPr>
          <w:color w:themeColor="text1" w:val="000000"/>
        </w:rPr>
        <w:t xml:space="preserve">”) được lập và ký ngày 9/1/2026, tại Hà Nội giữa và bởi các Bên dưới đây: </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rFonts w:eastAsia="Arial"/>
          <w:color w:themeColor="text1" w:val="000000"/>
        </w:rPr>
        <w:t xml:space="preserve"> </w:t>
      </w:r>
      <w:bookmarkStart w:id="4" w:name="_Hlk217115927"/>
      <w:r>
        <w:rPr>
          <w:b/>
          <w:bCs/>
          <w:color w:themeColor="text1" w:val="000000"/>
        </w:rPr>
        <w:t>CỔ PHẦN BẤT ĐỘNG SẢN UTOPIA</w:t>
      </w:r>
      <w:bookmarkEnd w:id="4"/>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 xml:space="preserve">0111034043 do Sở Tài chính thành phố Hà Nội cấp lần đầu ngày 23/04/2025 </w:t>
            </w:r>
            <w:r>
              <w:rPr>
                <w:rFonts w:ascii="Times New Roman" w:hAnsi="Times New Roman"/>
                <w:sz w:val="24"/>
                <w:szCs w:val="24"/>
              </w:rPr>
              <w:t>và các lần sửa đổi bổ sung</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92 phố Võ Thị Sáu, phường Bạch Mai, thành phố Hà Nội</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0969991289</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info@utopia.com.vn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146768686868 tại Ngân hàng Thương mại Cổ phần Quân đội (MBbank) - Chi nhánh Thanh Xuân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b/>
                <w:bCs/>
                <w:color w:themeColor="text1" w:val="000000"/>
                <w:sz w:val="24"/>
                <w:szCs w:val="24"/>
              </w:rPr>
            </w:pPr>
            <w:r>
              <w:rPr>
                <w:rFonts w:eastAsia="Arial" w:ascii="Times New Roman" w:hAnsi="Times New Roman"/>
                <w:b/>
                <w:bCs/>
                <w:color w:themeColor="text1" w:val="000000"/>
                <w:sz w:val="24"/>
                <w:szCs w:val="24"/>
              </w:rPr>
              <w:t>Ông Trương Xuân Quý</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Tổng Giám đốc</w:t>
            </w:r>
          </w:p>
        </w:tc>
      </w:tr>
    </w:tbl>
    <w:p>
      <w:pPr>
        <w:pStyle w:val="Default"/>
        <w:spacing w:lineRule="auto" w:line="276" w:before="120" w:after="120"/>
        <w:rPr>
          <w:b/>
          <w:bCs/>
          <w:i/>
          <w:i/>
          <w:iCs/>
          <w:color w:themeColor="text1" w:val="000000"/>
          <w:lang w:val="fr-FR"/>
        </w:rPr>
      </w:pPr>
      <w:r>
        <w:rPr>
          <w:i/>
          <w:iCs/>
          <w:color w:themeColor="text1" w:val="000000"/>
          <w:lang w:val="fr-FR"/>
        </w:rPr>
        <w:t>(Sau đây gọi là</w:t>
      </w:r>
      <w:r>
        <w:rPr>
          <w:b/>
          <w:bCs/>
          <w:i/>
          <w:iCs/>
          <w:color w:themeColor="text1" w:val="000000"/>
          <w:lang w:val="fr-FR"/>
        </w:rPr>
        <w:t xml:space="preserve"> “Bên A”</w:t>
      </w:r>
      <w:r>
        <w:rPr>
          <w:i/>
          <w:iCs/>
          <w:color w:themeColor="text1" w:val="000000"/>
          <w:lang w:val="fr-FR"/>
        </w:rPr>
        <w:t>)</w:t>
      </w:r>
      <w:r>
        <w:rPr>
          <w:b/>
          <w:bCs/>
          <w:i/>
          <w:iCs/>
          <w:color w:themeColor="text1" w:val="000000"/>
          <w:lang w:val="fr-FR"/>
        </w:rPr>
        <w:t xml:space="preserve"> </w:t>
      </w:r>
    </w:p>
    <w:p>
      <w:pPr>
        <w:pStyle w:val="Normal"/>
        <w:spacing w:before="0" w:after="0"/>
        <w:ind w:right="-187"/>
        <w:jc w:val="both"/>
        <w:rPr>
          <w:rFonts w:ascii="Times New Roman" w:hAnsi="Times New Roman"/>
          <w:b/>
          <w:bCs/>
          <w:sz w:val="24"/>
          <w:szCs w:val="24"/>
        </w:rPr>
      </w:pPr>
      <w:r>
        <w:rPr>
          <w:rFonts w:ascii="Times New Roman" w:hAnsi="Times New Roman"/>
          <w:b/>
          <w:bCs/>
          <w:sz w:val="24"/>
          <w:szCs w:val="24"/>
        </w:rPr>
        <w:t>2. BÊN ĐƯỢC CUNG CẤP DỊCH VỤ</w:t>
      </w:r>
    </w:p>
    <w:p>
      <w:pPr>
        <w:pStyle w:val="Normal"/>
        <w:spacing w:before="0" w:after="0"/>
        <w:ind w:right="-187"/>
        <w:jc w:val="both"/>
        <w:rPr>
          <w:rFonts w:ascii="Times New Roman" w:hAnsi="Times New Roman"/>
          <w:b/>
          <w:bCs/>
          <w:sz w:val="24"/>
          <w:szCs w:val="24"/>
        </w:rPr>
      </w:pPr>
      <w:r>
        <w:rPr>
          <w:rFonts w:ascii="Times New Roman" w:hAnsi="Times New Roman"/>
          <w:b/>
          <w:bCs/>
          <w:sz w:val="24"/>
          <w:szCs w:val="24"/>
        </w:rPr>
      </w:r>
    </w:p>
    <w:tbl>
      <w:tblPr>
        <w:tblW w:w="9200" w:type="dxa"/>
        <w:jc w:val="left"/>
        <w:tblInd w:w="126" w:type="dxa"/>
        <w:tblLayout w:type="fixed"/>
        <w:tblCellMar>
          <w:top w:w="0" w:type="dxa"/>
          <w:left w:w="108" w:type="dxa"/>
          <w:bottom w:w="0" w:type="dxa"/>
          <w:right w:w="108" w:type="dxa"/>
        </w:tblCellMar>
        <w:tblLook w:val="04a0" w:noHBand="0" w:noVBand="1" w:firstColumn="1" w:lastRow="0" w:lastColumn="0" w:firstRow="1"/>
      </w:tblPr>
      <w:tblGrid>
        <w:gridCol w:w="3548"/>
        <w:gridCol w:w="281"/>
        <w:gridCol w:w="5371"/>
      </w:tblGrid>
      <w:tr>
        <w:trPr>
          <w:trHeight w:val="377" w:hRule="atLeast"/>
        </w:trPr>
        <w:tc>
          <w:tcPr>
            <w:tcW w:w="3548" w:type="dxa"/>
            <w:tcBorders/>
          </w:tcPr>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81"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Duy</w:t>
            </w:r>
          </w:p>
        </w:tc>
      </w:tr>
      <w:tr>
        <w:trPr>
          <w:trHeight w:val="377" w:hRule="atLeast"/>
        </w:trPr>
        <w:tc>
          <w:tcPr>
            <w:tcW w:w="354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sz w:val="24"/>
                <w:szCs w:val="24"/>
              </w:rPr>
              <w:t>CCCD/CC số</w:t>
            </w:r>
          </w:p>
        </w:tc>
        <w:tc>
          <w:tcPr>
            <w:tcW w:w="281"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0068686768</w:t>
            </w:r>
          </w:p>
        </w:tc>
      </w:tr>
      <w:tr>
        <w:trPr>
          <w:trHeight w:val="350" w:hRule="atLeast"/>
        </w:trPr>
        <w:tc>
          <w:tcPr>
            <w:tcW w:w="3548"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r>
      <w:tr>
        <w:trPr>
          <w:trHeight w:val="359" w:hRule="atLeast"/>
        </w:trPr>
        <w:tc>
          <w:tcPr>
            <w:tcW w:w="3548" w:type="dxa"/>
            <w:tcBorders/>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r>
      <w:tr>
        <w:trPr>
          <w:trHeight w:val="377" w:hRule="atLeast"/>
        </w:trPr>
        <w:tc>
          <w:tcPr>
            <w:tcW w:w="354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090920900</w:t>
            </w:r>
          </w:p>
        </w:tc>
      </w:tr>
      <w:tr>
        <w:trPr>
          <w:trHeight w:val="377" w:hRule="atLeast"/>
        </w:trPr>
        <w:tc>
          <w:tcPr>
            <w:tcW w:w="354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anhduy.tran160106@gmail.com</w:t>
            </w:r>
          </w:p>
        </w:tc>
      </w:tr>
    </w:tbl>
    <w:p>
      <w:pPr>
        <w:pStyle w:val="Default"/>
        <w:spacing w:lineRule="auto" w:line="276" w:before="120" w:after="120"/>
        <w:rPr>
          <w:color w:themeColor="text1" w:val="000000"/>
          <w:lang w:val="fr-FR"/>
        </w:rPr>
      </w:pPr>
      <w:r>
        <w:rPr>
          <w:i/>
          <w:iCs/>
          <w:color w:themeColor="text1" w:val="000000"/>
          <w:lang w:val="fr-FR"/>
        </w:rPr>
        <w:t>(Sau đây gọi là</w:t>
      </w:r>
      <w:r>
        <w:rPr>
          <w:b/>
          <w:bCs/>
          <w:i/>
          <w:iCs/>
          <w:color w:themeColor="text1" w:val="000000"/>
          <w:lang w:val="fr-FR"/>
        </w:rPr>
        <w:t xml:space="preserve"> “Bên B”</w:t>
      </w:r>
      <w:r>
        <w:rPr>
          <w:i/>
          <w:iCs/>
          <w:color w:themeColor="text1" w:val="000000"/>
          <w:lang w:val="fr-FR"/>
        </w:rPr>
        <w:t>)</w:t>
      </w:r>
      <w:r>
        <w:rPr>
          <w:b/>
          <w:bCs/>
          <w:i/>
          <w:iCs/>
          <w:color w:themeColor="text1" w:val="000000"/>
          <w:lang w:val="fr-FR"/>
        </w:rPr>
        <w:t xml:space="preserve">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Default"/>
        <w:spacing w:lineRule="auto" w:line="276" w:before="120" w:after="0"/>
        <w:jc w:val="both"/>
        <w:rPr>
          <w:b/>
          <w:bCs/>
          <w:color w:themeColor="text1" w:val="000000"/>
          <w:lang w:val="fr-FR"/>
        </w:rPr>
      </w:pPr>
      <w:r>
        <w:rPr>
          <w:b/>
          <w:bCs/>
          <w:color w:themeColor="text1" w:val="000000"/>
          <w:lang w:val="fr-FR"/>
        </w:rPr>
        <w:t>XÉT RẰNG :</w:t>
      </w:r>
    </w:p>
    <w:p>
      <w:pPr>
        <w:pStyle w:val="Normal"/>
        <w:numPr>
          <w:ilvl w:val="0"/>
          <w:numId w:val="24"/>
        </w:numPr>
        <w:tabs>
          <w:tab w:val="clear" w:pos="720"/>
          <w:tab w:val="left" w:pos="567" w:leader="none"/>
        </w:tabs>
        <w:spacing w:lineRule="atLeast" w:line="320" w:before="0" w:after="120"/>
        <w:ind w:hanging="567" w:left="567"/>
        <w:jc w:val="both"/>
        <w:rPr>
          <w:color w:themeColor="text1" w:val="000000"/>
          <w:lang w:val="fr-FR"/>
        </w:rPr>
      </w:pPr>
      <w:r>
        <w:rPr>
          <w:rFonts w:ascii="Times New Roman" w:hAnsi="Times New Roman"/>
          <w:iCs/>
          <w:color w:themeColor="text1" w:val="000000"/>
          <w:sz w:val="24"/>
          <w:szCs w:val="24"/>
          <w:lang w:val="fr-FR"/>
        </w:rPr>
        <w:t xml:space="preserve">Bên A là đơn vị có chức năng và kinh nghiệm tư vấn, môi giới bất động sản được </w:t>
      </w:r>
      <w:r>
        <w:rPr>
          <w:rFonts w:ascii="Times New Roman" w:hAnsi="Times New Roman"/>
          <w:color w:themeColor="text1" w:val="000000"/>
          <w:sz w:val="24"/>
          <w:szCs w:val="24"/>
          <w:lang w:val="fr-FR"/>
        </w:rPr>
        <w:t xml:space="preserve">Công ty </w:t>
      </w:r>
      <w:r>
        <w:rPr>
          <w:rFonts w:ascii="Times New Roman" w:hAnsi="Times New Roman"/>
          <w:iCs/>
          <w:color w:themeColor="text1" w:val="000000"/>
          <w:sz w:val="24"/>
          <w:szCs w:val="24"/>
          <w:lang w:val="fr-FR"/>
        </w:rPr>
        <w:t xml:space="preserve">Cổ phần Phát triển Hạ tầng Phú Thành (sau đây gọi là </w:t>
      </w:r>
      <w:r>
        <w:rPr>
          <w:rFonts w:ascii="Times New Roman" w:hAnsi="Times New Roman"/>
          <w:b/>
          <w:iCs/>
          <w:color w:themeColor="text1" w:val="000000"/>
          <w:sz w:val="24"/>
          <w:szCs w:val="24"/>
          <w:lang w:val="fr-FR"/>
        </w:rPr>
        <w:t>“</w:t>
      </w:r>
      <w:r>
        <w:rPr>
          <w:rFonts w:ascii="Times New Roman" w:hAnsi="Times New Roman"/>
          <w:b/>
          <w:bCs/>
          <w:iCs/>
          <w:color w:themeColor="text1" w:val="000000"/>
          <w:sz w:val="24"/>
          <w:szCs w:val="24"/>
          <w:lang w:val="fr-FR"/>
        </w:rPr>
        <w:t>Chủ Đầu Tư</w:t>
      </w:r>
      <w:r>
        <w:rPr>
          <w:rFonts w:ascii="Times New Roman" w:hAnsi="Times New Roman"/>
          <w:b/>
          <w:iCs/>
          <w:color w:themeColor="text1" w:val="000000"/>
          <w:sz w:val="24"/>
          <w:szCs w:val="24"/>
          <w:lang w:val="fr-FR"/>
        </w:rPr>
        <w:t>”</w:t>
      </w:r>
      <w:r>
        <w:rPr>
          <w:rFonts w:ascii="Times New Roman" w:hAnsi="Times New Roman"/>
          <w:iCs/>
          <w:color w:themeColor="text1" w:val="000000"/>
          <w:sz w:val="24"/>
          <w:szCs w:val="24"/>
          <w:lang w:val="fr-FR"/>
        </w:rPr>
        <w:t xml:space="preserve">) của </w:t>
      </w:r>
      <w:r>
        <w:rPr>
          <w:rFonts w:ascii="Times New Roman" w:hAnsi="Times New Roman"/>
          <w:color w:themeColor="text1" w:val="000000"/>
          <w:sz w:val="24"/>
          <w:szCs w:val="24"/>
          <w:lang w:val="fr-FR"/>
        </w:rPr>
        <w:t xml:space="preserve">Dự án Làng Đá Bạc </w:t>
      </w:r>
      <w:r>
        <w:rPr>
          <w:rFonts w:ascii="Times New Roman" w:hAnsi="Times New Roman"/>
          <w:iCs/>
          <w:color w:themeColor="text1" w:val="000000"/>
          <w:sz w:val="24"/>
          <w:szCs w:val="24"/>
          <w:lang w:val="fr-FR"/>
        </w:rPr>
        <w:t xml:space="preserve">(Tên thương mại: Utopia Villas &amp; Resort), có địa chỉ tại </w:t>
      </w:r>
      <w:r>
        <w:rPr>
          <w:rFonts w:ascii="Times New Roman" w:hAnsi="Times New Roman"/>
          <w:color w:themeColor="text1" w:val="000000"/>
          <w:sz w:val="24"/>
          <w:szCs w:val="24"/>
          <w:lang w:val="fr-FR"/>
        </w:rPr>
        <w:t>xã Phú Thành, huyện Lạc Thủy, tỉnh Hoà Bình, Việt Nam (nay là xã An Nghĩa, tỉnh Phú Thọ, Việt Nam)</w:t>
      </w:r>
      <w:r>
        <w:rPr>
          <w:color w:themeColor="text1" w:val="000000"/>
          <w:lang w:val="fr-FR"/>
        </w:rPr>
        <w:t xml:space="preserve"> </w:t>
      </w:r>
      <w:r>
        <w:rPr>
          <w:rFonts w:ascii="Times New Roman" w:hAnsi="Times New Roman"/>
          <w:color w:themeColor="text1" w:val="000000"/>
          <w:sz w:val="24"/>
          <w:szCs w:val="24"/>
          <w:lang w:val="fr-FR"/>
        </w:rPr>
        <w:t>(</w:t>
      </w:r>
      <w:r>
        <w:rPr>
          <w:rFonts w:ascii="Times New Roman" w:hAnsi="Times New Roman"/>
          <w:b/>
          <w:color w:themeColor="text1" w:val="000000"/>
          <w:sz w:val="24"/>
          <w:szCs w:val="24"/>
          <w:lang w:val="fr-FR"/>
        </w:rPr>
        <w:t>“Dự Án”</w:t>
      </w:r>
      <w:r>
        <w:rPr>
          <w:rFonts w:ascii="Times New Roman" w:hAnsi="Times New Roman"/>
          <w:color w:themeColor="text1" w:val="000000"/>
          <w:sz w:val="24"/>
          <w:szCs w:val="24"/>
          <w:lang w:val="fr-FR"/>
        </w:rPr>
        <w:t>)</w:t>
      </w:r>
      <w:r>
        <w:rPr>
          <w:rFonts w:ascii="Times New Roman" w:hAnsi="Times New Roman"/>
          <w:iCs/>
          <w:color w:themeColor="text1" w:val="000000"/>
          <w:sz w:val="24"/>
          <w:szCs w:val="24"/>
          <w:lang w:val="fr-FR"/>
        </w:rPr>
        <w:t xml:space="preserve"> chỉ định là đơn vị tư vấn, môi giới và khảo sát nhu cầu thực tế mua Bất Động Sản tại Dự Án. </w:t>
      </w:r>
      <w:r>
        <w:rPr>
          <w:rFonts w:ascii="Times New Roman" w:hAnsi="Times New Roman"/>
          <w:color w:themeColor="text1" w:val="000000"/>
          <w:sz w:val="24"/>
          <w:szCs w:val="24"/>
          <w:lang w:val="fr-FR"/>
        </w:rPr>
        <w:t>Các Bên hiểu rõ và đồng ý rằng Chủ Đầu Tư được hiểu bao gồm cả công ty nhận kế thừa/chuyển giao trên cơ sở chuyển nhượng dự án hoặc tổ chức, cơ cấu lại công ty (chia, tách, hợp nhất, sáp nhập) hoặc hình thức khác theo quy định của pháp luật);</w:t>
      </w:r>
    </w:p>
    <w:p>
      <w:pPr>
        <w:pStyle w:val="Default"/>
        <w:numPr>
          <w:ilvl w:val="0"/>
          <w:numId w:val="23"/>
        </w:numPr>
        <w:spacing w:lineRule="auto" w:line="276" w:before="120" w:after="0"/>
        <w:ind w:hanging="567" w:left="567"/>
        <w:jc w:val="both"/>
        <w:rPr>
          <w:color w:themeColor="text1" w:val="000000"/>
          <w:lang w:val="fr-FR"/>
        </w:rPr>
      </w:pPr>
      <w:r>
        <w:rPr>
          <w:iCs/>
          <w:color w:themeColor="text1" w:val="000000"/>
          <w:lang w:val="fr-FR"/>
        </w:rPr>
        <w:t>Bên B có nhu cầu được tư vấn để tìm hiểu thông tin về Bất Động Sản tại Dự Án (sau đây gọi là “</w:t>
      </w:r>
      <w:r>
        <w:rPr>
          <w:b/>
          <w:iCs/>
          <w:color w:themeColor="text1" w:val="000000"/>
          <w:lang w:val="fr-FR"/>
        </w:rPr>
        <w:t>Bất Động Sản</w:t>
      </w:r>
      <w:r>
        <w:rPr>
          <w:iCs/>
          <w:color w:themeColor="text1" w:val="000000"/>
          <w:lang w:val="fr-FR"/>
        </w:rPr>
        <w:t xml:space="preserve">”) để thực hiện đăng ký nguyện vọng được mua Bất Động Sản </w:t>
      </w:r>
      <w:r>
        <w:rPr>
          <w:iCs/>
          <w:color w:themeColor="text1" w:val="000000"/>
          <w:lang w:val="vi-VN"/>
        </w:rPr>
        <w:t xml:space="preserve">khi </w:t>
      </w:r>
      <w:r>
        <w:rPr>
          <w:iCs/>
          <w:color w:themeColor="text1" w:val="000000"/>
          <w:lang w:val="fr-FR"/>
        </w:rPr>
        <w:t xml:space="preserve">Bất Động Sản đủ điều kiện đưa vào kinh doanh </w:t>
      </w:r>
      <w:r>
        <w:rPr>
          <w:iCs/>
          <w:color w:themeColor="text1" w:val="000000"/>
          <w:lang w:val="vi-VN"/>
        </w:rPr>
        <w:t>theo quy định của pháp luật</w:t>
      </w:r>
      <w:r>
        <w:rPr>
          <w:iCs/>
          <w:color w:themeColor="text1" w:val="000000"/>
          <w:lang w:val="fr-FR"/>
        </w:rPr>
        <w:t xml:space="preserve"> theo Đơn Đăng Ký Nguyện Vọng </w:t>
      </w:r>
      <w:r>
        <w:rPr>
          <w:b/>
          <w:bCs/>
          <w:iCs/>
          <w:color w:themeColor="text1" w:val="000000"/>
          <w:lang w:val="fr-FR"/>
        </w:rPr>
        <w:t>(“Đơn Đăng Ký”</w:t>
      </w:r>
      <w:r>
        <w:rPr>
          <w:iCs/>
          <w:color w:themeColor="text1" w:val="000000"/>
          <w:lang w:val="fr-FR"/>
        </w:rPr>
        <w:t>)</w:t>
      </w:r>
      <w:r>
        <w:rPr>
          <w:b/>
          <w:bCs/>
          <w:iCs/>
          <w:color w:themeColor="text1" w:val="000000"/>
          <w:lang w:val="fr-FR"/>
        </w:rPr>
        <w:t xml:space="preserve"> </w:t>
      </w:r>
      <w:r>
        <w:rPr>
          <w:iCs/>
          <w:color w:themeColor="text1" w:val="000000"/>
          <w:lang w:val="fr-FR"/>
        </w:rPr>
        <w:t>đính kèm Thỏa Thuận này.</w:t>
      </w:r>
    </w:p>
    <w:p>
      <w:pPr>
        <w:pStyle w:val="Default"/>
        <w:spacing w:lineRule="auto" w:line="276" w:before="120" w:after="0"/>
        <w:jc w:val="both"/>
        <w:rPr>
          <w:color w:themeColor="text1" w:val="000000"/>
          <w:lang w:val="fr-FR"/>
        </w:rPr>
      </w:pPr>
      <w:r>
        <w:rPr>
          <w:b/>
          <w:bCs/>
          <w:color w:themeColor="text1" w:val="000000"/>
          <w:lang w:val="fr-FR"/>
        </w:rPr>
        <w:t>DO ĐÓ,</w:t>
      </w:r>
      <w:r>
        <w:rPr>
          <w:color w:themeColor="text1" w:val="000000"/>
          <w:lang w:val="fr-FR"/>
        </w:rPr>
        <w:t xml:space="preserve"> Hai Bên thống nhất lập và ký kết Thỏa Thuận này với các nội dung sau đây:</w:t>
      </w:r>
    </w:p>
    <w:p>
      <w:pPr>
        <w:pStyle w:val="Default"/>
        <w:spacing w:lineRule="auto" w:line="276" w:before="120" w:after="120"/>
        <w:jc w:val="both"/>
        <w:rPr>
          <w:color w:themeColor="text1" w:val="000000"/>
        </w:rPr>
      </w:pPr>
      <w:r>
        <w:rPr>
          <w:b/>
          <w:bCs/>
          <w:color w:themeColor="text1" w:val="000000"/>
        </w:rPr>
        <w:t>Điều 1. Nội dung dịch vụ</w:t>
      </w:r>
    </w:p>
    <w:p>
      <w:pPr>
        <w:pStyle w:val="Default"/>
        <w:numPr>
          <w:ilvl w:val="0"/>
          <w:numId w:val="6"/>
        </w:numPr>
        <w:spacing w:lineRule="auto" w:line="276" w:before="60" w:after="60"/>
        <w:ind w:hanging="720" w:left="720"/>
        <w:jc w:val="both"/>
        <w:rPr>
          <w:color w:themeColor="text1" w:val="000000"/>
        </w:rPr>
      </w:pPr>
      <w:r>
        <w:rPr>
          <w:b/>
          <w:bCs/>
          <w:color w:themeColor="text1" w:val="000000"/>
        </w:rPr>
        <w:t xml:space="preserve">Phạm vi dịch vụ: </w:t>
      </w:r>
    </w:p>
    <w:p>
      <w:pPr>
        <w:pStyle w:val="Default"/>
        <w:spacing w:lineRule="auto" w:line="276" w:before="60" w:after="60"/>
        <w:ind w:left="720"/>
        <w:jc w:val="both"/>
        <w:rPr>
          <w:color w:themeColor="text1" w:val="000000"/>
        </w:rPr>
      </w:pPr>
      <w:r>
        <w:rPr>
          <w:color w:themeColor="text1" w:val="000000"/>
        </w:rPr>
        <w:t>Bên A đồng ý cung cấp cho Bên B các dịch vụ (</w:t>
      </w:r>
      <w:r>
        <w:rPr>
          <w:b/>
          <w:color w:themeColor="text1" w:val="000000"/>
        </w:rPr>
        <w:t>“</w:t>
      </w:r>
      <w:r>
        <w:rPr>
          <w:b/>
          <w:bCs/>
          <w:color w:themeColor="text1" w:val="000000"/>
        </w:rPr>
        <w:t>Dịch Vụ</w:t>
      </w:r>
      <w:r>
        <w:rPr>
          <w:b/>
          <w:color w:themeColor="text1" w:val="000000"/>
        </w:rPr>
        <w:t>”</w:t>
      </w:r>
      <w:r>
        <w:rPr>
          <w:color w:themeColor="text1" w:val="000000"/>
        </w:rPr>
        <w:t xml:space="preserve">) sau: </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Giới thiệu, tư vấn cho Bên B các thông tin về Bất Động Sản phù hợp với nguyện vọng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 xml:space="preserve">Tư vấn, hỗ trợ các thủ tục liên quan để Bên B mua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lang w:val="en-GB"/>
        </w:rPr>
        <w:t>,</w:t>
      </w:r>
      <w:r>
        <w:rPr>
          <w:color w:themeColor="text1" w:val="000000"/>
        </w:rPr>
        <w:t xml:space="preserve"> phù hợp với nhu cầu và mong muốn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Các công việc khác có liên quan phục vụ cho các dịch vụ quy định tại Điều 1.1 (a), Điều 1.1 (b) nếu được Bên B yêu cầu một cách hợp lý.</w:t>
      </w:r>
    </w:p>
    <w:p>
      <w:pPr>
        <w:pStyle w:val="Default"/>
        <w:numPr>
          <w:ilvl w:val="0"/>
          <w:numId w:val="6"/>
        </w:numPr>
        <w:spacing w:lineRule="auto" w:line="276" w:before="120" w:after="60"/>
        <w:ind w:hanging="720" w:left="720"/>
        <w:jc w:val="both"/>
        <w:rPr>
          <w:color w:themeColor="text1" w:val="000000"/>
        </w:rPr>
      </w:pPr>
      <w:r>
        <w:rPr>
          <w:b/>
          <w:bCs/>
          <w:color w:themeColor="text1" w:val="000000"/>
        </w:rPr>
        <w:t>Phí dịch vụ:</w:t>
      </w:r>
    </w:p>
    <w:p>
      <w:pPr>
        <w:pStyle w:val="Default"/>
        <w:numPr>
          <w:ilvl w:val="0"/>
          <w:numId w:val="8"/>
        </w:numPr>
        <w:tabs>
          <w:tab w:val="left" w:pos="720" w:leader="none"/>
        </w:tabs>
        <w:spacing w:lineRule="auto" w:line="276" w:before="60" w:after="0"/>
        <w:ind w:hanging="720" w:left="720"/>
        <w:jc w:val="both"/>
        <w:rPr>
          <w:color w:themeColor="text1" w:val="000000"/>
        </w:rPr>
      </w:pPr>
      <w:r>
        <w:rPr>
          <w:b/>
          <w:bCs/>
          <w:color w:themeColor="text1" w:val="000000"/>
        </w:rPr>
        <w:t>Phí dịch vụ:</w:t>
      </w:r>
      <w:r>
        <w:rPr>
          <w:color w:themeColor="text1" w:val="000000"/>
        </w:rPr>
        <w:t xml:space="preserve"> Bên B đồng ý trả cho Bên A mức phí cho Dịch Vụ quy định tại Điều 1.1 Thỏa Thuận này là: 50.000.000.000</w:t>
      </w:r>
      <w:r>
        <w:rPr>
          <w:rStyle w:val="FootnoteReference"/>
          <w:color w:themeColor="text1" w:val="000000"/>
        </w:rPr>
        <w:footnoteReference w:id="2"/>
      </w:r>
      <w:r>
        <w:rPr>
          <w:color w:themeColor="text1" w:val="000000"/>
        </w:rPr>
        <w:t xml:space="preserve"> đồng (</w:t>
      </w:r>
      <w:r>
        <w:rPr>
          <w:i/>
          <w:iCs/>
          <w:color w:themeColor="text1" w:val="000000"/>
        </w:rPr>
        <w:t>bằng chữ: năm mươi tỷ</w:t>
      </w:r>
      <w:r>
        <w:rPr>
          <w:color w:themeColor="text1" w:val="000000"/>
        </w:rPr>
        <w:t xml:space="preserve">) (Phí dịch vụ này chưa bao gồm thuế GTGT) ( </w:t>
      </w:r>
      <w:r>
        <w:rPr>
          <w:b/>
          <w:color w:themeColor="text1" w:val="000000"/>
        </w:rPr>
        <w:t>“Phí Dịch Vụ”</w:t>
      </w:r>
      <w:r>
        <w:rPr>
          <w:color w:themeColor="text1" w:val="000000"/>
        </w:rPr>
        <w:t>).</w:t>
      </w:r>
    </w:p>
    <w:p>
      <w:pPr>
        <w:pStyle w:val="Default"/>
        <w:numPr>
          <w:ilvl w:val="0"/>
          <w:numId w:val="8"/>
        </w:numPr>
        <w:spacing w:lineRule="auto" w:line="276" w:before="60" w:after="0"/>
        <w:ind w:hanging="720" w:left="720"/>
        <w:jc w:val="both"/>
        <w:rPr>
          <w:color w:themeColor="text1" w:val="000000"/>
        </w:rPr>
      </w:pPr>
      <w:r>
        <w:rPr>
          <w:b/>
          <w:bCs/>
          <w:color w:themeColor="text1" w:val="000000"/>
        </w:rPr>
        <w:t>Thanh toán Phí Dịch Vụ:</w:t>
      </w:r>
      <w:r>
        <w:rPr>
          <w:color w:themeColor="text1" w:val="000000"/>
        </w:rPr>
        <w:t xml:space="preserve"> Phí Dịch Vụ sẽ được Bên B thanh toán cho Bên A sau thời điểm chấm dứt Thỏa Thuận này. Để làm rõ, Bên B đồng ý rằng Bên A có quyền tự động khấu trừ từ Tiền Bảo Đảm mà Bên B đã đóng theo quy định tại Điều 3 Thỏa Thuận để thanh toán khoản Phí Dịch Vụ này.</w:t>
      </w:r>
    </w:p>
    <w:p>
      <w:pPr>
        <w:pStyle w:val="Default"/>
        <w:numPr>
          <w:ilvl w:val="0"/>
          <w:numId w:val="8"/>
        </w:numPr>
        <w:tabs>
          <w:tab w:val="left" w:pos="720" w:leader="none"/>
        </w:tabs>
        <w:spacing w:lineRule="auto" w:line="276" w:before="60" w:after="0"/>
        <w:ind w:hanging="720" w:left="720"/>
        <w:jc w:val="both"/>
        <w:rPr>
          <w:color w:themeColor="text1" w:val="000000"/>
        </w:rPr>
      </w:pPr>
      <w:r>
        <w:rPr>
          <w:color w:themeColor="text1" w:val="000000"/>
        </w:rPr>
        <w:t>Bên B được miễn thanh toán Phí Dịch Vụ đối với trường hợp quy định tại các Điều 3.3 (a), Điều 3.3 (b), Điều 3.3 (d) của Thỏa Thuận .</w:t>
      </w:r>
    </w:p>
    <w:p>
      <w:pPr>
        <w:pStyle w:val="Default"/>
        <w:spacing w:lineRule="auto" w:line="276" w:before="240" w:after="0"/>
        <w:ind w:hanging="720" w:left="720"/>
        <w:jc w:val="both"/>
        <w:rPr>
          <w:color w:themeColor="text1" w:val="000000"/>
        </w:rPr>
      </w:pPr>
      <w:r>
        <w:rPr>
          <w:b/>
          <w:bCs/>
          <w:color w:themeColor="text1" w:val="000000"/>
        </w:rPr>
        <w:t xml:space="preserve">Điều 2. Cam kết của Hai Bên </w:t>
      </w:r>
    </w:p>
    <w:p>
      <w:pPr>
        <w:pStyle w:val="Default"/>
        <w:numPr>
          <w:ilvl w:val="0"/>
          <w:numId w:val="9"/>
        </w:numPr>
        <w:spacing w:lineRule="auto" w:line="276" w:before="120" w:after="0"/>
        <w:ind w:hanging="720" w:left="720"/>
        <w:jc w:val="both"/>
        <w:rPr>
          <w:color w:themeColor="text1" w:val="000000"/>
        </w:rPr>
      </w:pPr>
      <w:r>
        <w:rPr>
          <w:b/>
          <w:bCs/>
          <w:color w:themeColor="text1" w:val="000000"/>
        </w:rPr>
        <w:t xml:space="preserve">Bên A cam kết như sau: </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Cung cấp đầy đủ thông tin về Bất Động Sản cho Bên B trên cơ sở những thông tin được cung cấp và cho phép công bố bởi Chủ Đầu Tư.</w:t>
      </w:r>
    </w:p>
    <w:p>
      <w:pPr>
        <w:pStyle w:val="Default"/>
        <w:numPr>
          <w:ilvl w:val="0"/>
          <w:numId w:val="10"/>
        </w:numPr>
        <w:spacing w:lineRule="auto" w:line="276" w:before="60" w:after="0"/>
        <w:ind w:hanging="720" w:left="720"/>
        <w:jc w:val="both"/>
        <w:rPr>
          <w:color w:themeColor="text1" w:val="000000"/>
        </w:rPr>
      </w:pPr>
      <w:r>
        <w:rPr>
          <w:color w:themeColor="text1" w:val="000000"/>
        </w:rPr>
        <w:t xml:space="preserve">Thực hiện các công việc cần thiết để bảo đảm tìm được Bất Động Sản theo đúng nguyện vọng của Bên B và xúc tiến các thủ tục cần thiết để mời Bên B ký kết Hợp đồng chuyển nhượng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rPr>
        <w:t xml:space="preserve"> </w:t>
      </w:r>
      <w:r>
        <w:rPr>
          <w:color w:themeColor="text1" w:val="000000"/>
        </w:rPr>
        <w:t xml:space="preserve">(sau đây gọi là </w:t>
      </w:r>
      <w:r>
        <w:rPr>
          <w:b/>
          <w:color w:themeColor="text1" w:val="000000"/>
        </w:rPr>
        <w:t>“</w:t>
      </w:r>
      <w:r>
        <w:rPr>
          <w:b/>
          <w:bCs/>
          <w:color w:themeColor="text1" w:val="000000"/>
        </w:rPr>
        <w:t>Hợp Đồng Giao Dịch</w:t>
      </w:r>
      <w:r>
        <w:rPr>
          <w:b/>
          <w:color w:themeColor="text1" w:val="000000"/>
        </w:rPr>
        <w:t>”</w:t>
      </w:r>
      <w:r>
        <w:rPr>
          <w:color w:themeColor="text1" w:val="000000"/>
        </w:rPr>
        <w:t xml:space="preserve">) và thực hiện các thủ tục với Chủ Đầu Tư hoặc với bên thứ ba có quyền sở hữu Bất Động Sản (sau đây gọi là </w:t>
      </w:r>
      <w:r>
        <w:rPr>
          <w:b/>
          <w:color w:themeColor="text1" w:val="000000"/>
        </w:rPr>
        <w:t>“</w:t>
      </w:r>
      <w:r>
        <w:rPr>
          <w:b/>
          <w:bCs/>
          <w:color w:themeColor="text1" w:val="000000"/>
        </w:rPr>
        <w:t>Bên Chuyển Nhượng</w:t>
      </w:r>
      <w:r>
        <w:rPr>
          <w:b/>
          <w:color w:themeColor="text1" w:val="000000"/>
        </w:rPr>
        <w:t>”</w:t>
      </w:r>
      <w:r>
        <w:rPr>
          <w:color w:themeColor="text1" w:val="000000"/>
        </w:rPr>
        <w:t>) để thực hiện thủ tục nhận chuyển nhượng Bất Động Sản dự kiến vào ngày</w:t>
      </w:r>
      <w:r>
        <w:rPr>
          <w:b/>
          <w:bCs/>
        </w:rPr>
        <w:t xml:space="preserve"> </w:t>
      </w:r>
      <w:r>
        <w:rPr>
          <w:b/>
          <w:bCs/>
        </w:rPr>
        <w:fldChar w:fldCharType="begin"/>
      </w:r>
      <w:r>
        <w:rPr>
          <w:b/>
          <w:bCs/>
        </w:rPr>
        <w:instrText xml:space="preserve"> MERGEFIELD Text_Ngày_dự_kiến_ký_HĐMB </w:instrText>
      </w:r>
      <w:r>
        <w:rPr>
          <w:b/>
          <w:bCs/>
        </w:rPr>
        <w:fldChar w:fldCharType="separate"/>
      </w:r>
      <w:r>
        <w:rPr>
          <w:b/>
          <w:bCs/>
        </w:rPr>
        <w:t>«Text_Ngày_dự_kiến_ký_HĐMB»</w:t>
      </w:r>
      <w:r>
        <w:rPr>
          <w:b/>
          <w:bCs/>
        </w:rPr>
        <w:fldChar w:fldCharType="end"/>
      </w:r>
      <w:r>
        <w:rPr>
          <w:b/>
          <w:bCs/>
        </w:rPr>
        <w:t xml:space="preserve"> </w:t>
      </w:r>
      <w:r>
        <w:rPr>
          <w:color w:themeColor="text1" w:val="000000"/>
        </w:rPr>
        <w:t xml:space="preserve">(sau đây gọi là </w:t>
      </w:r>
      <w:r>
        <w:rPr>
          <w:b/>
          <w:color w:themeColor="text1" w:val="000000"/>
        </w:rPr>
        <w:t>“Thời Gian Ký Hợp Đồng Giao Dịch Dự Kiến”</w:t>
      </w:r>
      <w:r>
        <w:rPr>
          <w:color w:themeColor="text1" w:val="000000"/>
        </w:rPr>
        <w:t xml:space="preserve">) hoặc theo thông báo bằng văn bản của Chủ Đầu Tư. </w:t>
      </w:r>
    </w:p>
    <w:p>
      <w:pPr>
        <w:pStyle w:val="Default"/>
        <w:spacing w:lineRule="auto" w:line="276" w:before="120" w:after="0"/>
        <w:ind w:left="720"/>
        <w:jc w:val="both"/>
        <w:rPr>
          <w:color w:themeColor="text1" w:val="000000"/>
          <w:spacing w:val="-4"/>
        </w:rPr>
      </w:pPr>
      <w:r>
        <w:rPr>
          <w:color w:themeColor="text1" w:val="000000"/>
          <w:spacing w:val="-4"/>
        </w:rPr>
        <w:t xml:space="preserve">Để tránh hiểu nhầm, tùy thuộc vào thời gian thực tế tìm kiếm Bất Động Sản của Bên A và với điều kiện Bên B đã thực hiện đầy đủ các nghĩa vụ thanh toán theo Thỏa Thuận Thực Hiện Nguyện Vọng, thời gian gửi thông báo mời ký Hợp Đồng Giao Dịch thực tế có thể trước hoặc sau </w:t>
      </w:r>
      <w:r>
        <w:rPr>
          <w:bCs/>
          <w:color w:themeColor="text1" w:val="000000"/>
          <w:spacing w:val="-4"/>
        </w:rPr>
        <w:t>Thời Gian Ký Hợp Đồng Giao Dịch Dự Kiến</w:t>
      </w:r>
      <w:r>
        <w:rPr>
          <w:color w:themeColor="text1" w:val="000000"/>
          <w:spacing w:val="-4"/>
        </w:rPr>
        <w:t xml:space="preserve"> không quá 180 (một trăm tám mươi) ngày.</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 xml:space="preserve">Kể từ ngày thứ 181 (một trăm tám mươi mốt) tính từ </w:t>
      </w:r>
      <w:r>
        <w:rPr>
          <w:bCs/>
          <w:color w:themeColor="text1" w:val="000000"/>
        </w:rPr>
        <w:t xml:space="preserve">Thời Gian Ký Hợp Đồng Giao Dịch Dự Kiến (sau đây gọi là </w:t>
      </w:r>
      <w:r>
        <w:rPr>
          <w:b/>
          <w:bCs/>
          <w:color w:themeColor="text1" w:val="000000"/>
        </w:rPr>
        <w:t>“Thời Điểm Phát Sinh Quyền Chấm Dứt”</w:t>
      </w:r>
      <w:r>
        <w:rPr>
          <w:bCs/>
          <w:color w:themeColor="text1" w:val="000000"/>
        </w:rPr>
        <w:t>),</w:t>
      </w:r>
      <w:r>
        <w:rPr>
          <w:color w:themeColor="text1" w:val="000000"/>
        </w:rPr>
        <w:t xml:space="preserve"> với điều kiện Bên B đã thực hiện đầy đủ và đúng hạn các nghĩa vụ tài chính theo Thỏa Thuận, mà Bên A chưa gửi thông báo cho Bên B về việc ký Hợp Đồng Giao Dịch thì Bên B có quyền: </w:t>
      </w:r>
    </w:p>
    <w:p>
      <w:pPr>
        <w:pStyle w:val="Default"/>
        <w:numPr>
          <w:ilvl w:val="0"/>
          <w:numId w:val="14"/>
        </w:numPr>
        <w:spacing w:lineRule="auto" w:line="271" w:before="60" w:after="0"/>
        <w:ind w:hanging="425" w:left="1134"/>
        <w:jc w:val="both"/>
        <w:rPr>
          <w:strike/>
          <w:color w:themeColor="text1" w:val="000000"/>
        </w:rPr>
      </w:pPr>
      <w:r>
        <w:rPr>
          <w:color w:themeColor="text1" w:val="000000"/>
        </w:rPr>
        <w:t xml:space="preserve">Đơn phương chấm dứt Thỏa Thuận này bằng cách gửi thông báo bằng văn bản cho Bên A (sau đây gọi là </w:t>
      </w:r>
      <w:r>
        <w:rPr>
          <w:b/>
          <w:color w:themeColor="text1" w:val="000000"/>
        </w:rPr>
        <w:t>“</w:t>
      </w:r>
      <w:r>
        <w:rPr>
          <w:b/>
          <w:bCs/>
          <w:color w:themeColor="text1" w:val="000000"/>
        </w:rPr>
        <w:t>Thông Báo Chấm Dứt</w:t>
      </w:r>
      <w:r>
        <w:rPr>
          <w:b/>
          <w:color w:themeColor="text1" w:val="000000"/>
        </w:rPr>
        <w:t>”</w:t>
      </w:r>
      <w:r>
        <w:rPr>
          <w:color w:themeColor="text1" w:val="000000"/>
        </w:rPr>
        <w:t xml:space="preserve">) trong vòng 07 (bảy) ngày kể từ Thời Điểm Phát Sinh Quyền Chấm Dứt (sau đây gọi là </w:t>
      </w:r>
      <w:r>
        <w:rPr>
          <w:b/>
          <w:color w:themeColor="text1" w:val="000000"/>
        </w:rPr>
        <w:t>“</w:t>
      </w:r>
      <w:r>
        <w:rPr>
          <w:b/>
          <w:bCs/>
          <w:color w:themeColor="text1" w:val="000000"/>
        </w:rPr>
        <w:t>Thời Hạn Chấm Dứt</w:t>
      </w:r>
      <w:r>
        <w:rPr>
          <w:b/>
          <w:color w:themeColor="text1" w:val="000000"/>
        </w:rPr>
        <w:t>”</w:t>
      </w:r>
      <w:r>
        <w:rPr>
          <w:color w:themeColor="text1" w:val="000000"/>
        </w:rPr>
        <w:t xml:space="preserve">) và yêu cầu Bên A hoàn trả toàn bộ Tiền Bảo Đảm Bên B đã nộp cùng với một khoản tiền bồi thường thiệt hại (sau đây gọi là </w:t>
      </w:r>
      <w:r>
        <w:rPr>
          <w:b/>
          <w:color w:themeColor="text1" w:val="000000"/>
        </w:rPr>
        <w:t>“</w:t>
      </w:r>
      <w:r>
        <w:rPr>
          <w:b/>
          <w:bCs/>
          <w:color w:themeColor="text1" w:val="000000"/>
        </w:rPr>
        <w:t>Tiền Bồi Thường</w:t>
      </w:r>
      <w:r>
        <w:rPr>
          <w:b/>
          <w:color w:themeColor="text1" w:val="000000"/>
        </w:rPr>
        <w:t>”</w:t>
      </w:r>
      <w:r>
        <w:rPr>
          <w:color w:themeColor="text1" w:val="000000"/>
        </w:rPr>
        <w:t xml:space="preserve">) được tính bằng lãi suất 0,03%/ngày nhân với số Tiền Bảo Đảm Bên B đã nộp theo tiến độ thanh toán quy định tại Thỏa Thuận trên thời gian tính lãi, tính từ Ngày Bắt Đầu Tính Lãi đến ngày Hai Bên ký Biên bản thanh lý Thỏa Thuận. </w:t>
      </w:r>
    </w:p>
    <w:p>
      <w:pPr>
        <w:pStyle w:val="Default"/>
        <w:spacing w:lineRule="auto" w:line="271" w:before="60" w:after="0"/>
        <w:ind w:left="1134"/>
        <w:jc w:val="both"/>
        <w:rPr>
          <w:strike/>
          <w:color w:themeColor="text1" w:val="000000"/>
        </w:rPr>
      </w:pPr>
      <w:r>
        <w:rPr>
          <w:color w:themeColor="text1" w:val="000000"/>
        </w:rPr>
        <w:t xml:space="preserve">Để làm rõ, Ngày Bắt Đầu Tính Lãi là Ngày bắt đầu Thời Điểm Phát Sinh Quyền Chấm Dứt. </w:t>
      </w:r>
    </w:p>
    <w:p>
      <w:pPr>
        <w:pStyle w:val="Default"/>
        <w:spacing w:lineRule="auto" w:line="271" w:before="60" w:after="60"/>
        <w:ind w:left="1134"/>
        <w:jc w:val="both"/>
        <w:rPr>
          <w:color w:themeColor="text1" w:val="000000"/>
        </w:rPr>
      </w:pPr>
      <w:r>
        <w:rPr>
          <w:color w:themeColor="text1" w:val="000000"/>
        </w:rPr>
        <w:t xml:space="preserve">Hai Bên có trách nhiệm ký Biên bản thanh lý Thỏa Thuận trong vòng 07 (bảy) ngày kể từ ngày Bên A nhận được thông báo chấm dứt Thỏa Thuận từ Bên B (sau đây gọi là </w:t>
      </w:r>
      <w:r>
        <w:rPr>
          <w:b/>
          <w:color w:themeColor="text1" w:val="000000"/>
        </w:rPr>
        <w:t>“Thời Hạn Thanh Lý”</w:t>
      </w:r>
      <w:r>
        <w:rPr>
          <w:color w:themeColor="text1" w:val="000000"/>
        </w:rPr>
        <w:t>). Quá Thời Hạn Thanh Lý mà Biên bản thanh lý Thỏa Thuận chưa được ký kết thì Tiền Bồi Thường sẽ tính từ Ngày Bắt Đầu Tính Lãi cho đến ngày hết Thời Hạn Thanh Lý; hoặc</w:t>
      </w:r>
    </w:p>
    <w:p>
      <w:pPr>
        <w:pStyle w:val="Default"/>
        <w:numPr>
          <w:ilvl w:val="0"/>
          <w:numId w:val="14"/>
        </w:numPr>
        <w:spacing w:lineRule="auto" w:line="271" w:before="60" w:after="0"/>
        <w:ind w:hanging="425" w:left="1134"/>
        <w:jc w:val="both"/>
        <w:rPr>
          <w:color w:themeColor="text1" w:val="000000"/>
        </w:rPr>
      </w:pPr>
      <w:r>
        <w:rPr>
          <w:color w:themeColor="text1" w:val="000000"/>
        </w:rPr>
        <w:t>Trong trường hợp Bên B không gửi Thông Báo Chấm Dứt cho Bên A trong Thời Hạn Chấm Dứt nêu trên thì Hai Bên đồng ý</w:t>
      </w:r>
      <w:r>
        <w:rPr>
          <w:color w:themeColor="text1" w:val="000000"/>
          <w:spacing w:val="-7"/>
        </w:rPr>
        <w:t xml:space="preserve"> </w:t>
      </w:r>
      <w:r>
        <w:rPr>
          <w:color w:themeColor="text1" w:val="000000"/>
        </w:rPr>
        <w:t xml:space="preserve">rằng Bên B đã chấp thuận: (i) Tiếp tục thực hiện Thỏa Thuận; và (ii) Gia hạn Thời Gian </w:t>
      </w:r>
      <w:r>
        <w:rPr>
          <w:bCs/>
          <w:color w:themeColor="text1" w:val="000000"/>
        </w:rPr>
        <w:t>Ký Hợp Đồng Giao Dịch</w:t>
      </w:r>
      <w:r>
        <w:rPr>
          <w:b/>
          <w:color w:themeColor="text1" w:val="000000"/>
        </w:rPr>
        <w:t xml:space="preserve"> </w:t>
      </w:r>
      <w:r>
        <w:rPr>
          <w:color w:themeColor="text1" w:val="000000"/>
        </w:rPr>
        <w:t xml:space="preserve">Dự Kiến cho đến khi Bên A gửi Thông báo mời ký Hợp Đồng Giao Dịch (sau đây gọi là </w:t>
      </w:r>
      <w:r>
        <w:rPr>
          <w:b/>
          <w:color w:themeColor="text1" w:val="000000"/>
        </w:rPr>
        <w:t>“Thông Báo Mời Ký”</w:t>
      </w:r>
      <w:r>
        <w:rPr>
          <w:color w:themeColor="text1" w:val="000000"/>
        </w:rPr>
        <w:t>); và (iii) Không được hoàn trả Tiền Bảo Đảm Bên B đã nộp cùng với khoản Tiền Bồi Thường theo quy định nêu trên trừ trường hợp Hai Bên có thỏa thuận khác bằng văn bản.</w:t>
      </w:r>
    </w:p>
    <w:p>
      <w:pPr>
        <w:pStyle w:val="Default"/>
        <w:numPr>
          <w:ilvl w:val="0"/>
          <w:numId w:val="10"/>
        </w:numPr>
        <w:spacing w:lineRule="auto" w:line="271" w:before="60" w:after="0"/>
        <w:ind w:hanging="720" w:left="720"/>
        <w:jc w:val="both"/>
        <w:rPr>
          <w:color w:themeColor="text1" w:val="000000"/>
        </w:rPr>
      </w:pPr>
      <w:r>
        <w:rPr>
          <w:color w:themeColor="text1" w:val="000000"/>
        </w:rPr>
        <w:t>Bên A sẽ tìm kiếm Bất Động Sản phù hợp với nguyện vọng tại Đơn Đăng Ký của Bên B. Trường hợp Bên A tìm kiếm được Bất Động Sản phù hợp với nguyện vọng của Bên B tại Đơn Đăng Ký, Bên A sẽ gửi thông báo cho Bên B về việc ký kết Hợp Đồng Giao Dịch.</w:t>
      </w:r>
    </w:p>
    <w:p>
      <w:pPr>
        <w:pStyle w:val="Default"/>
        <w:numPr>
          <w:ilvl w:val="0"/>
          <w:numId w:val="10"/>
        </w:numPr>
        <w:tabs>
          <w:tab w:val="left" w:pos="720" w:leader="none"/>
        </w:tabs>
        <w:spacing w:lineRule="auto" w:line="271" w:before="60" w:after="0"/>
        <w:ind w:hanging="720" w:left="720"/>
        <w:jc w:val="both"/>
        <w:rPr>
          <w:color w:themeColor="text1" w:val="000000"/>
        </w:rPr>
      </w:pPr>
      <w:r>
        <w:rPr>
          <w:color w:themeColor="text1" w:val="000000"/>
        </w:rPr>
        <w:t xml:space="preserve">Bên A có trách nhiệm: </w:t>
      </w:r>
    </w:p>
    <w:p>
      <w:pPr>
        <w:pStyle w:val="Default"/>
        <w:numPr>
          <w:ilvl w:val="0"/>
          <w:numId w:val="19"/>
        </w:numPr>
        <w:spacing w:lineRule="auto" w:line="271"/>
        <w:ind w:hanging="425" w:left="1134"/>
        <w:jc w:val="both"/>
        <w:rPr>
          <w:color w:themeColor="text1" w:val="000000"/>
        </w:rPr>
      </w:pPr>
      <w:r>
        <w:rPr>
          <w:color w:themeColor="text1" w:val="000000"/>
        </w:rPr>
        <w:t xml:space="preserve">Gửi Thông Báo Mời Ký cho Bên B về thời gian, địa điểm thực hiện các thủ tục ký kết Hợp Đồng Giao Dịch. Ngày được nêu tại Thông Báo Mời Ký này được xác định là Ngày Đến Hạn Ký Hợp Đồng Giao Dịch; </w:t>
      </w:r>
    </w:p>
    <w:p>
      <w:pPr>
        <w:pStyle w:val="Default"/>
        <w:numPr>
          <w:ilvl w:val="0"/>
          <w:numId w:val="19"/>
        </w:numPr>
        <w:spacing w:lineRule="auto" w:line="271"/>
        <w:ind w:hanging="425" w:left="1134"/>
        <w:jc w:val="both"/>
        <w:rPr>
          <w:color w:themeColor="text1" w:val="000000"/>
        </w:rPr>
      </w:pPr>
      <w:r>
        <w:rPr>
          <w:color w:themeColor="text1" w:val="000000"/>
        </w:rPr>
        <w:t xml:space="preserve">Hỗ trợ Bên B ký kết Hợp Đồng Giao Dịch với Bên Chuyển Nhượng khi Bên B đã thực hiện đúng và đầy đủ trách nhiệm cần thiết của mình; </w:t>
      </w:r>
    </w:p>
    <w:p>
      <w:pPr>
        <w:pStyle w:val="Default"/>
        <w:numPr>
          <w:ilvl w:val="0"/>
          <w:numId w:val="19"/>
        </w:numPr>
        <w:spacing w:lineRule="auto" w:line="271"/>
        <w:ind w:hanging="425" w:left="1134"/>
        <w:jc w:val="both"/>
        <w:rPr>
          <w:color w:themeColor="text1" w:val="000000"/>
        </w:rPr>
      </w:pPr>
      <w:r>
        <w:rPr>
          <w:color w:themeColor="text1" w:val="000000"/>
        </w:rPr>
        <w:t>Thay mặt Bên B chuyển toàn bộ Tiền Bảo Đảm, các khoản lãi phát sinh từ Tiền Bảo Đảm và/hoặc Tiền Bồi Thường (nếu có) mà Bên B được hưởng theo quy định của Thỏa Thuận (sau khi trừ đi các nghĩa vụ Bên B phải thanh toán cho Bên A theo Thỏa Thuận) cho Bên Chuyển Nhượng để thanh toán Giá bán Bất Động Sản theo quy định tại Hợp Đồng Giao Dịch.</w:t>
      </w:r>
    </w:p>
    <w:p>
      <w:pPr>
        <w:pStyle w:val="Default"/>
        <w:numPr>
          <w:ilvl w:val="0"/>
          <w:numId w:val="9"/>
        </w:numPr>
        <w:spacing w:lineRule="auto" w:line="271" w:before="120" w:after="120"/>
        <w:ind w:hanging="720" w:left="720"/>
        <w:jc w:val="both"/>
        <w:rPr>
          <w:color w:themeColor="text1" w:val="000000"/>
        </w:rPr>
      </w:pPr>
      <w:r>
        <w:rPr>
          <w:b/>
          <w:bCs/>
          <w:color w:themeColor="text1" w:val="000000"/>
        </w:rPr>
        <w:t xml:space="preserve">Bên B cam kết như sau: </w:t>
      </w:r>
    </w:p>
    <w:p>
      <w:pPr>
        <w:pStyle w:val="Default"/>
        <w:numPr>
          <w:ilvl w:val="0"/>
          <w:numId w:val="11"/>
        </w:numPr>
        <w:tabs>
          <w:tab w:val="left" w:pos="720" w:leader="none"/>
        </w:tabs>
        <w:spacing w:lineRule="auto" w:line="271" w:before="120" w:after="120"/>
        <w:ind w:hanging="720" w:left="720"/>
        <w:jc w:val="both"/>
        <w:rPr>
          <w:color w:themeColor="text1" w:val="000000"/>
          <w:lang w:val="vi-VN"/>
        </w:rPr>
      </w:pPr>
      <w:r>
        <w:rPr>
          <w:color w:themeColor="text1" w:val="000000"/>
          <w:lang w:val="vi-VN"/>
        </w:rPr>
        <w:t xml:space="preserve">Bên B đảm bảo </w:t>
      </w:r>
      <w:r>
        <w:rPr>
          <w:color w:themeColor="text1" w:val="000000"/>
        </w:rPr>
        <w:t xml:space="preserve">đáp ứng đủ điều kiện theo quy định của </w:t>
      </w:r>
      <w:r>
        <w:rPr>
          <w:color w:themeColor="text1" w:val="000000"/>
          <w:lang w:val="vi-VN"/>
        </w:rPr>
        <w:t xml:space="preserve">pháp luật về việc mua và sở hữu </w:t>
      </w:r>
      <w:r>
        <w:rPr>
          <w:color w:themeColor="text1" w:val="000000"/>
        </w:rPr>
        <w:t>Bất Động Sản</w:t>
      </w:r>
      <w:r>
        <w:rPr>
          <w:color w:themeColor="text1" w:val="000000"/>
          <w:lang w:val="vi-VN"/>
        </w:rPr>
        <w:t>. Bên B đảm bảo cung cấp đầy đủ các giấy tờ và thực hiện các công việc cần thiết theo yêu cầu của Bên A để chứng minh đủ điều kiện mua và sở hữu Bất Động Sản trước khi thực hiện ký kết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Trong trường hợp Bên A tìm kiếm được Bất Động Sản phù hợp với nguyện vọng tại Đơn Đăng Ký của Bên B, Bên B có trách nhiệm thực hiện việc ký kết Hợp Đồng Giao Dịch theo thông báo của Chủ Đầu Tư và theo mẫu Hợp Đồng Giao Dịch của Chủ Đầu Tư/Bên Chuyển Nhượng ban hành. </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Thực hiện đúng và đầy đủ việc nộp Tiền Bảo Đảm theo quy định tại Thỏa Thuận. Trường hợp Bên B không thực hiện hoặc thực hiện không đúng, đầy đủ việc nộp Tiền Bảo Đảm và/hoặc vi phạm bất kỳ nghĩa vụ tài chính nào với Bên A quá 15 (mười lăm) ngày kể từ ngày đến hạn theo quy định của Thỏa Thuận thì Bên A có quyền đơn phương chấm dứt Thỏa Thuận này bằng việc thông báo bằng văn bản cho Bên B và yêu cầu Bên B bồi thường một khoản tiền bằng giá trị khoản Tiền Bảo Đảm. Theo đó, Bên A có quyền giữ lại và định đoạt toàn bộ Tiền Bảo Đảm mà Bên B đã nộp đến thời điểm Bên A gửi thông báo chấm dứt.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rút, sử dụng hoặc yêu cầu Bên A hoàn trả Tiền Bảo Đảm trong suốt thời hạn bảo đảm theo quy định tại Điều 3.2 (b) Thỏa Thuận, trừ trường hợp Hai Bên có thỏa thuận khác bằng văn bản.</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hủy và/hoặc không thay đổi nguyện vọng đã đăng ký tại Đơn Đăng Ký, trừ trường hợp có sự đồng ý bằng văn bản của Bên A.</w:t>
      </w:r>
    </w:p>
    <w:p>
      <w:pPr>
        <w:pStyle w:val="Default"/>
        <w:numPr>
          <w:ilvl w:val="0"/>
          <w:numId w:val="11"/>
        </w:numPr>
        <w:tabs>
          <w:tab w:val="left" w:pos="720" w:leader="none"/>
          <w:tab w:val="left" w:pos="900" w:leader="none"/>
        </w:tabs>
        <w:spacing w:lineRule="auto" w:line="276" w:before="120" w:after="120"/>
        <w:ind w:hanging="720" w:left="720"/>
        <w:jc w:val="both"/>
        <w:rPr>
          <w:color w:themeColor="text1" w:val="000000"/>
          <w:lang w:val="vi-VN"/>
        </w:rPr>
      </w:pPr>
      <w:r>
        <w:rPr>
          <w:color w:themeColor="text1" w:val="000000"/>
          <w:lang w:val="vi-VN"/>
        </w:rPr>
        <w:t>Trong mọi trường hợp, việc thay đổi diện tích tại thời điểm ký Hợp Đồng Giao Dịch, dẫn tới sự thay đổi của Giá bán Bất Động Sản so với thông số quy định tại Đơn Đăng Ký không được coi là lý do để Bên B từ chối thực hiện và/hoặc đơn phương chấm dứt Thỏa Thuận. Để làm rõ, tại thời điểm ký Hợp Đồng Giao Dịch, trường hợp các thông số diện tích tạm tính tăng/giảm so với thông số của Bất Động sản quy định tại Đơn Đăng Ký, Hai Bên sẽ thanh toán hoặc hoàn trả cho nhau khoản tiền chênh lệch dựa trên thông số Bên A/Chủ Đầu Tư cung cấp tại thời điểm ký Hợp Đồng Giao Dịch trong vòng 15 (mười lăm) ngày kể từ ngày ký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spacing w:val="-4"/>
          <w:lang w:val="vi-VN"/>
        </w:rPr>
      </w:pPr>
      <w:r>
        <w:rPr>
          <w:color w:themeColor="text1" w:val="000000"/>
          <w:spacing w:val="-4"/>
          <w:lang w:val="vi-VN"/>
        </w:rPr>
        <w:t>Bên B đồng ý ủy quyền cho Bên A tìm kiếm, đăng ký, thực hiện các thủ tục để chọn mua Bất Động Sản theo nguyện vọng của Bên B tại Đơn Đăng Ký phù hợp với quy định pháp luật.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Cam kết bảo mật các nội dung Thỏa Thuận cùng các phụ lục đính kèm và các tài liệu, thông tin khác có liên quan (nếu có). Bên B chỉ tiết lộ các thông tin này cho cá nhân, tổ chức khác khi có sự chấp thuận trước bằng văn bản của Bên A. Điều khoản này vẫn tiếp tục ràng buộc Bên B ngay cả khi Thỏa Thuận chấm dứt hoặc hết hiệu lực. Trường hợp vi phạm quy định này, Bên B phải bồi thường toàn bộ thiệt hại, tổn thất thực tế phát sinh cho Bên A.</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Trường hợp: (i) Bên B đơn phương chấm dứt Thỏa Thuận trái pháp luật và/hoặc trái với quy định tại Thỏa Thuận; hoặc (ii) Đến ngày ký kết Hợp Đồng Giao Dịch mà Bên B chậm hoặc không cung cấp các tài liệu, giấy tờ cần thiết chứng minh đủ điều kiện ký kết Hợp Đồng Giao Dịch; hoặc (iii) Do lỗi của Bên B dẫn đến không thể ký kết Hợp Đồng Giao Dịch, Bên B thừa nhận và đồng ý rằng, Bên B đã đơn phương chấm dứt Thỏa Thuận trái quy định và thống nhất để Bên A xử lý Tiền Bảo Đảm theo quy định tại Điều 3.3 của Thỏa Thuận mà không có bất kỳ khiếu nại, khiếu kiện nào.</w:t>
      </w:r>
    </w:p>
    <w:p>
      <w:pPr>
        <w:pStyle w:val="Default"/>
        <w:numPr>
          <w:ilvl w:val="0"/>
          <w:numId w:val="11"/>
        </w:numPr>
        <w:tabs>
          <w:tab w:val="left" w:pos="720" w:leader="none"/>
        </w:tabs>
        <w:spacing w:lineRule="auto" w:line="276" w:before="100" w:after="100"/>
        <w:ind w:hanging="720" w:left="720"/>
        <w:jc w:val="both"/>
        <w:rPr>
          <w:color w:themeColor="text1" w:val="000000"/>
          <w:lang w:val="vi-VN"/>
        </w:rPr>
      </w:pPr>
      <w:r>
        <w:rPr>
          <w:color w:themeColor="text1" w:val="000000"/>
          <w:lang w:val="vi-VN"/>
        </w:rPr>
        <w:t xml:space="preserve">Cam kết các thông tin về nhân thân/pháp nhân bao gồm cả thông tin về quốc tịch của Bên B mà Bên B cung cấp cho Bên A theo Thỏa Thuận này là đầy đủ, chính xác và trung thực. Trường hợp Bên B vi phạm cam kết này, Bên B đồng ý rằng Bên A có quyền thực hiện bất </w:t>
      </w:r>
      <w:bookmarkStart w:id="5" w:name="_Hlk216444624"/>
      <w:r>
        <w:rPr>
          <w:color w:themeColor="text1" w:val="000000"/>
          <w:lang w:val="vi-VN"/>
        </w:rPr>
        <w:t>kỳ hoặc tất cả các quyền sau: (i) từ chối tiếp tục thực hiện giao dịch hoặc đơn phương chấm dứt giao dịch/Thoả Thuận này và/hoặc các giấy tờ, thỏa thuận khác có liên quan ký với Bên B (nếu có); và/hoặc (ii) yêu cầu Bên B chịu một khoản phạt được tính theo quy định tại Điều 3.3 (c) của Thỏa Thuận này; và/hoặc (iii) thực hiện các quyền khác mà Bên A có theo quy định của pháp luật Việt Nam. Để tránh hiểu nhầm, điều khoản này vẫn tiếp tục ràng buộc Bên B ngay cả khi Thỏa Thuận này đã chấm dứt hiệu lực. Bên B cam kết không khiếu nại, khiếu kiện gì về sau liên quan đến vấn đề này.</w:t>
      </w:r>
    </w:p>
    <w:p>
      <w:pPr>
        <w:pStyle w:val="Default"/>
        <w:spacing w:lineRule="auto" w:line="276" w:before="100" w:after="100"/>
        <w:ind w:hanging="720" w:left="720"/>
        <w:jc w:val="both"/>
        <w:rPr>
          <w:color w:themeColor="text1" w:val="000000"/>
          <w:lang w:val="vi-VN"/>
        </w:rPr>
      </w:pPr>
      <w:r>
        <w:rPr>
          <w:b/>
          <w:bCs/>
          <w:color w:themeColor="text1" w:val="000000"/>
          <w:lang w:val="vi-VN"/>
        </w:rPr>
        <w:t xml:space="preserve">Điều 3. Tiền bảo đảm và biện pháp bảo đảm </w:t>
      </w:r>
    </w:p>
    <w:p>
      <w:pPr>
        <w:pStyle w:val="Default"/>
        <w:numPr>
          <w:ilvl w:val="0"/>
          <w:numId w:val="15"/>
        </w:numPr>
        <w:spacing w:lineRule="auto" w:line="276" w:before="100" w:after="100"/>
        <w:ind w:hanging="720" w:left="720"/>
        <w:jc w:val="both"/>
        <w:rPr>
          <w:color w:themeColor="text1" w:val="000000"/>
        </w:rPr>
      </w:pPr>
      <w:r>
        <w:rPr>
          <w:b/>
          <w:bCs/>
          <w:color w:themeColor="text1" w:val="000000"/>
        </w:rPr>
        <w:t>Tiền Bảo Đảm:</w:t>
      </w:r>
    </w:p>
    <w:p>
      <w:pPr>
        <w:pStyle w:val="Default"/>
        <w:spacing w:lineRule="auto" w:line="276" w:before="100" w:after="100"/>
        <w:ind w:left="720"/>
        <w:jc w:val="both"/>
        <w:rPr>
          <w:color w:themeColor="text1" w:val="000000"/>
        </w:rPr>
      </w:pPr>
      <w:r>
        <w:rPr>
          <w:color w:themeColor="text1" w:val="000000"/>
        </w:rPr>
        <w:t xml:space="preserve">Để bảo đảm cho việc Bên B thực hiện các cam kết của mình tại Thỏa Thuận này và chứng minh năng lực tài chính của Bên B khi Bên A tìm kiếm được Bất Động Sản phù hợp với nguyện vọng của Bên B, Bên B đồng ý tự nguyện chuyển một khoản tiền bảo đảm cho Bên A có giá trị là: 50.000.000.000 VNĐ </w:t>
      </w:r>
      <w:r>
        <w:rPr>
          <w:i/>
          <w:iCs/>
          <w:color w:themeColor="text1" w:val="000000"/>
        </w:rPr>
        <w:t xml:space="preserve">(bằng chữ: năm mươi tỷ) ) </w:t>
      </w:r>
      <w:r>
        <w:rPr>
          <w:color w:themeColor="text1" w:val="000000"/>
        </w:rPr>
        <w:t xml:space="preserve">( </w:t>
      </w:r>
      <w:r>
        <w:rPr>
          <w:b/>
          <w:color w:themeColor="text1" w:val="000000"/>
        </w:rPr>
        <w:t>“</w:t>
      </w:r>
      <w:r>
        <w:rPr>
          <w:b/>
          <w:bCs/>
          <w:color w:themeColor="text1" w:val="000000"/>
        </w:rPr>
        <w:t>Tiền Bảo Đảm</w:t>
      </w:r>
      <w:r>
        <w:rPr>
          <w:b/>
          <w:color w:themeColor="text1" w:val="000000"/>
        </w:rPr>
        <w:t>”</w:t>
      </w:r>
      <w:r>
        <w:rPr>
          <w:color w:themeColor="text1" w:val="000000"/>
        </w:rPr>
        <w:t xml:space="preserve">). </w:t>
      </w:r>
    </w:p>
    <w:p>
      <w:pPr>
        <w:pStyle w:val="Default"/>
        <w:spacing w:lineRule="auto" w:line="276" w:before="100" w:after="100"/>
        <w:ind w:left="720"/>
        <w:jc w:val="both"/>
        <w:rPr>
          <w:color w:themeColor="text1" w:val="000000"/>
        </w:rPr>
      </w:pPr>
      <w:bookmarkStart w:id="6" w:name="_Hlk216444646"/>
      <w:r>
        <w:rPr>
          <w:color w:themeColor="text1" w:val="000000"/>
        </w:rPr>
        <w:t xml:space="preserve">Bên B đồng ý cho phép Bên A được sử dụng khoản Tiền Bảo Đảm này vào </w:t>
      </w:r>
      <w:bookmarkStart w:id="7" w:name="_Hlk216444846"/>
      <w:r>
        <w:rPr>
          <w:color w:themeColor="text1" w:val="000000"/>
        </w:rPr>
        <w:t>việc</w:t>
      </w:r>
      <w:bookmarkEnd w:id="7"/>
      <w:r>
        <w:rPr>
          <w:color w:themeColor="text1" w:val="000000"/>
        </w:rPr>
        <w:t xml:space="preserve"> tìm kiếm Bất Động Sản phù hợp với nguyện vọng của Bên B và các hoạt động sản xuất kinh doanh hợp pháp khác của Bên A.</w:t>
      </w:r>
      <w:bookmarkEnd w:id="6"/>
    </w:p>
    <w:p>
      <w:pPr>
        <w:pStyle w:val="Default"/>
        <w:numPr>
          <w:ilvl w:val="0"/>
          <w:numId w:val="15"/>
        </w:numPr>
        <w:spacing w:lineRule="auto" w:line="276" w:before="100" w:after="100"/>
        <w:ind w:hanging="720" w:left="720"/>
        <w:jc w:val="both"/>
        <w:rPr>
          <w:color w:themeColor="text1" w:val="000000"/>
        </w:rPr>
      </w:pPr>
      <w:r>
        <w:rPr>
          <w:b/>
          <w:bCs/>
          <w:color w:themeColor="text1" w:val="000000"/>
        </w:rPr>
        <w:t>Tiến độ, thời hạn thực hiện bảo đảm:</w:t>
      </w:r>
    </w:p>
    <w:p>
      <w:pPr>
        <w:pStyle w:val="Default"/>
        <w:numPr>
          <w:ilvl w:val="0"/>
          <w:numId w:val="12"/>
        </w:numPr>
        <w:tabs>
          <w:tab w:val="left" w:pos="720" w:leader="none"/>
        </w:tabs>
        <w:spacing w:lineRule="auto" w:line="276" w:before="100" w:after="100"/>
        <w:ind w:hanging="720" w:left="720"/>
        <w:jc w:val="both"/>
        <w:rPr>
          <w:color w:themeColor="text1" w:val="000000"/>
        </w:rPr>
      </w:pPr>
      <w:r>
        <w:rPr>
          <w:b/>
          <w:bCs/>
          <w:color w:themeColor="text1" w:val="000000"/>
        </w:rPr>
        <w:t>Tiến độ chuyển Tiền Bảo Đảm</w:t>
      </w:r>
      <w:r>
        <w:rPr>
          <w:color w:themeColor="text1" w:val="000000"/>
        </w:rPr>
        <w:t xml:space="preserve">: </w:t>
      </w:r>
    </w:p>
    <w:p>
      <w:pPr>
        <w:pStyle w:val="Default"/>
        <w:tabs>
          <w:tab w:val="left" w:pos="720" w:leader="none"/>
        </w:tabs>
        <w:spacing w:lineRule="auto" w:line="276" w:before="100" w:after="100"/>
        <w:ind w:left="720"/>
        <w:jc w:val="both"/>
        <w:rPr>
          <w:color w:themeColor="text1" w:val="000000"/>
        </w:rPr>
      </w:pPr>
      <w:r>
        <w:rPr>
          <w:color w:themeColor="text1" w:val="000000"/>
        </w:rPr>
        <w:t>Tiền Bảo Đảm sẽ được Bên B thanh toán theo tiến độ sau:</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Đợt 1: 12.800.000.000</w:t>
      </w:r>
      <w:r>
        <w:rPr>
          <w:rFonts w:eastAsia="Times New Roman" w:cs="Times New Roman"/>
          <w:color w:themeColor="text1" w:val="000000"/>
          <w:sz w:val="24"/>
          <w:szCs w:val="24"/>
        </w:rPr>
      </w:r>
      <w:r>
        <w:rPr>
          <w:color w:themeColor="text1" w:val="000000"/>
        </w:rPr>
        <w:t xml:space="preserve"> đồng </w:t>
      </w:r>
      <w:r>
        <w:rPr>
          <w:i/>
          <w:iCs/>
          <w:color w:themeColor="text1" w:val="000000"/>
        </w:rPr>
        <w:t>(bằng chữ: mười hai tỷ tám trăm triệu</w:t>
      </w:r>
      <w:r>
        <w:rPr>
          <w:rFonts w:eastAsia="Times New Roman" w:cs="Times New Roman"/>
          <w:i/>
          <w:iCs/>
          <w:color w:themeColor="text1" w:val="000000"/>
          <w:sz w:val="24"/>
          <w:szCs w:val="24"/>
        </w:rPr>
      </w:r>
      <w:r>
        <w:rPr>
          <w:i/>
          <w:iCs/>
          <w:color w:themeColor="text1" w:val="000000"/>
        </w:rPr>
        <w:t xml:space="preserve"> đồng)</w:t>
      </w:r>
      <w:r>
        <w:rPr>
          <w:color w:themeColor="text1" w:val="000000"/>
        </w:rPr>
        <w:t xml:space="preserve"> ngay khi ký Thỏa Thuận  này.</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Đợt 2: 7.000.000.000</w:t>
      </w:r>
      <w:r>
        <w:rPr>
          <w:rFonts w:eastAsia="Times New Roman" w:cs="Times New Roman"/>
          <w:color w:themeColor="text1" w:val="000000"/>
          <w:sz w:val="24"/>
          <w:szCs w:val="24"/>
        </w:rPr>
      </w:r>
      <w:r>
        <w:rPr>
          <w:color w:themeColor="text1" w:val="000000"/>
        </w:rPr>
        <w:t xml:space="preserve"> đồng </w:t>
      </w:r>
      <w:r>
        <w:rPr>
          <w:i/>
          <w:iCs/>
          <w:color w:themeColor="text1" w:val="000000"/>
        </w:rPr>
        <w:t>(bằng chữ: bảy tỷ</w:t>
      </w:r>
      <w:r>
        <w:rPr>
          <w:rFonts w:eastAsia="Times New Roman" w:cs="Times New Roman"/>
          <w:i/>
          <w:iCs/>
          <w:color w:themeColor="text1" w:val="000000"/>
          <w:sz w:val="24"/>
          <w:szCs w:val="24"/>
        </w:rPr>
      </w:r>
      <w:r>
        <w:rPr>
          <w:i/>
          <w:iCs/>
          <w:color w:themeColor="text1" w:val="000000"/>
        </w:rPr>
        <w:t xml:space="preserve"> đồng)</w:t>
      </w:r>
      <w:r>
        <w:rPr>
          <w:color w:themeColor="text1" w:val="000000"/>
        </w:rPr>
        <w:t xml:space="preserve"> trong vòng 90</w:t>
      </w:r>
      <w:r>
        <w:rPr>
          <w:i/>
          <w:iCs/>
          <w:color w:themeColor="text1" w:val="000000"/>
        </w:rPr>
      </w:r>
      <w:r>
        <w:rPr>
          <w:rFonts w:eastAsia="Times New Roman" w:cs="Times New Roman"/>
          <w:i/>
          <w:iCs/>
          <w:color w:themeColor="text1" w:val="000000"/>
          <w:sz w:val="24"/>
          <w:szCs w:val="24"/>
        </w:rPr>
      </w:r>
      <w:r>
        <w:rPr>
          <w:color w:themeColor="text1" w:val="000000"/>
        </w:rPr>
        <w:t xml:space="preserve"> </w:t>
      </w:r>
      <w:r>
        <w:rPr>
          <w:rStyle w:val="FootnoteReference"/>
          <w:color w:themeColor="text1" w:val="000000"/>
        </w:rPr>
        <w:footnoteReference w:id="3"/>
      </w:r>
      <w:r>
        <w:rPr>
          <w:color w:themeColor="text1" w:val="000000"/>
        </w:rPr>
        <w:t xml:space="preserve"> ngày kể từ khi Hai Bên ký Thỏa Thuận này.</w:t>
      </w:r>
    </w:p>
    <w:p>
      <w:pPr>
        <w:pStyle w:val="Default"/>
        <w:spacing w:lineRule="auto" w:line="276" w:before="100" w:after="100"/>
        <w:ind w:left="720"/>
        <w:jc w:val="both"/>
        <w:rPr>
          <w:color w:themeColor="text1" w:val="000000"/>
          <w:spacing w:val="-2"/>
        </w:rPr>
      </w:pPr>
      <w:r>
        <w:rPr>
          <w:color w:themeColor="text1" w:val="000000"/>
          <w:spacing w:val="-2"/>
        </w:rPr>
        <w:t>Trường hợp Bên B chậm nộp Tiền Bảo Đảm theo tiến độ được quy định tại Thỏa Thuận này thì Bên B đồng ý trả cho Bên A một khoản tiền lãi trên số tiền phải thanh toán theo tiến độ với lãi suất 0,03%/ngày (</w:t>
      </w:r>
      <w:r>
        <w:rPr>
          <w:bCs/>
          <w:color w:themeColor="text1" w:val="000000"/>
        </w:rPr>
        <w:t xml:space="preserve">Không phẩy không ba </w:t>
      </w:r>
      <w:r>
        <w:rPr>
          <w:color w:themeColor="text1" w:val="000000"/>
          <w:spacing w:val="-2"/>
        </w:rPr>
        <w:t>phần trăm một ngày) trên số ngày chậm thanh toán.</w:t>
      </w:r>
    </w:p>
    <w:p>
      <w:pPr>
        <w:pStyle w:val="Default"/>
        <w:spacing w:lineRule="auto" w:line="276" w:before="100" w:after="100"/>
        <w:ind w:left="720"/>
        <w:jc w:val="both"/>
        <w:rPr>
          <w:b/>
          <w:color w:themeColor="text1" w:val="000000"/>
        </w:rPr>
      </w:pPr>
      <w:r>
        <w:rPr>
          <w:b/>
          <w:color w:themeColor="text1" w:val="000000"/>
        </w:rPr>
        <w:t>Phương thức thanh toán:</w:t>
      </w:r>
    </w:p>
    <w:p>
      <w:pPr>
        <w:pStyle w:val="ListParagraph"/>
        <w:tabs>
          <w:tab w:val="clear" w:pos="720"/>
          <w:tab w:val="left" w:pos="709" w:leader="none"/>
        </w:tabs>
        <w:spacing w:lineRule="auto" w:line="312" w:before="100" w:after="100"/>
        <w:ind w:left="709"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 xml:space="preserve">Việc thanh toán Tiền Bảo Đảm có thể được thực hiện bằng tiền mặt hoặc chuyển khoản vào tài khoản của Bên A theo thông tin được nêu tại phần đầu của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nb-NO"/>
        </w:rPr>
        <w:t>này. Việc thanh toán được coi là hoàn tất và Bên A được xem là đã nhận được Tiền Bảo Đảm theo từng Đợt khi:</w:t>
      </w:r>
    </w:p>
    <w:p>
      <w:pPr>
        <w:pStyle w:val="ListParagraph"/>
        <w:numPr>
          <w:ilvl w:val="2"/>
          <w:numId w:val="25"/>
        </w:numPr>
        <w:tabs>
          <w:tab w:val="clear" w:pos="720"/>
          <w:tab w:val="left" w:pos="1134" w:leader="none"/>
        </w:tabs>
        <w:spacing w:lineRule="auto" w:line="312" w:before="100" w:after="10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giấy nộp tiền mặt vào tài khoản của Bên A, có xác nhận của Ngân hàng của từng Đợt; hoặc</w:t>
      </w:r>
    </w:p>
    <w:p>
      <w:pPr>
        <w:pStyle w:val="ListParagraph"/>
        <w:numPr>
          <w:ilvl w:val="2"/>
          <w:numId w:val="25"/>
        </w:numPr>
        <w:tabs>
          <w:tab w:val="clear" w:pos="720"/>
          <w:tab w:val="left" w:pos="1134" w:leader="none"/>
        </w:tabs>
        <w:spacing w:lineRule="auto" w:line="312" w:before="120" w:after="12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phiếu thu nộp tiền mặt cho Bên A, có đủ dấu, chữ ký theo quy định; hoặc</w:t>
      </w:r>
    </w:p>
    <w:p>
      <w:pPr>
        <w:pStyle w:val="ListParagraph"/>
        <w:numPr>
          <w:ilvl w:val="2"/>
          <w:numId w:val="25"/>
        </w:numPr>
        <w:tabs>
          <w:tab w:val="clear" w:pos="720"/>
          <w:tab w:val="left" w:pos="1134" w:leader="none"/>
        </w:tabs>
        <w:spacing w:before="120" w:after="120"/>
        <w:ind w:hanging="432" w:left="1138"/>
        <w:contextualSpacing/>
        <w:jc w:val="both"/>
        <w:rPr>
          <w:color w:themeColor="text1" w:val="000000"/>
          <w:lang w:val="nb-NO"/>
        </w:rPr>
      </w:pPr>
      <w:r>
        <w:rPr>
          <w:rFonts w:ascii="Times New Roman" w:hAnsi="Times New Roman"/>
          <w:color w:themeColor="text1" w:val="000000"/>
          <w:sz w:val="24"/>
          <w:szCs w:val="24"/>
          <w:lang w:val="nb-NO"/>
        </w:rPr>
        <w:t>Bên B trực tiếp hoặc ủy quyền cho bên thứ ba thanh toán qua chuyển khoản cho Bên A và Bên A đã nhận được Tiền Bảo Đảm theo từng Đợt thể hiện qua các chứng từ chuyển tiền của Bên B/Bên thứ ba được ủy quyền và báo có tài khoản của Bên A.</w:t>
      </w:r>
      <w:bookmarkEnd w:id="5"/>
    </w:p>
    <w:p>
      <w:pPr>
        <w:pStyle w:val="Default"/>
        <w:numPr>
          <w:ilvl w:val="0"/>
          <w:numId w:val="12"/>
        </w:numPr>
        <w:tabs>
          <w:tab w:val="left" w:pos="720" w:leader="none"/>
          <w:tab w:val="left" w:pos="900" w:leader="none"/>
        </w:tabs>
        <w:spacing w:lineRule="auto" w:line="276" w:before="120" w:after="120"/>
        <w:ind w:hanging="720" w:left="720"/>
        <w:jc w:val="both"/>
        <w:rPr>
          <w:color w:themeColor="text1" w:val="000000"/>
          <w:lang w:val="nb-NO"/>
        </w:rPr>
      </w:pPr>
      <w:r>
        <w:rPr>
          <w:b/>
          <w:bCs/>
          <w:color w:themeColor="text1" w:val="000000"/>
          <w:lang w:val="nb-NO"/>
        </w:rPr>
        <w:t>Thời Hạn Bảo Đảm:</w:t>
      </w:r>
      <w:r>
        <w:rPr>
          <w:color w:themeColor="text1" w:val="000000"/>
          <w:lang w:val="nb-NO"/>
        </w:rPr>
        <w:t xml:space="preserve"> Được tính kể từ khi Bên A nhận được Tiền Bảo Đảm cho đến khi Tiền Bảo Đảm được xử lý theo quy định tại Điều 3.3 Thỏa Thuận này.</w:t>
      </w:r>
    </w:p>
    <w:p>
      <w:pPr>
        <w:pStyle w:val="Default"/>
        <w:numPr>
          <w:ilvl w:val="0"/>
          <w:numId w:val="15"/>
        </w:numPr>
        <w:spacing w:lineRule="auto" w:line="276" w:before="120" w:after="120"/>
        <w:ind w:hanging="720" w:left="720"/>
        <w:jc w:val="both"/>
        <w:rPr>
          <w:color w:themeColor="text1" w:val="000000"/>
          <w:lang w:val="nb-NO"/>
        </w:rPr>
      </w:pPr>
      <w:r>
        <w:rPr>
          <w:b/>
          <w:bCs/>
          <w:color w:themeColor="text1" w:val="000000"/>
          <w:lang w:val="nb-NO"/>
        </w:rPr>
        <w:t>Xử lý Tiền Bảo Đảm:</w:t>
      </w:r>
    </w:p>
    <w:p>
      <w:pPr>
        <w:pStyle w:val="Default"/>
        <w:spacing w:lineRule="auto" w:line="276" w:before="120" w:after="120"/>
        <w:ind w:left="720"/>
        <w:jc w:val="both"/>
        <w:rPr>
          <w:color w:themeColor="text1" w:val="000000"/>
          <w:lang w:val="nb-NO"/>
        </w:rPr>
      </w:pPr>
      <w:r>
        <w:rPr>
          <w:color w:themeColor="text1" w:val="000000"/>
          <w:lang w:val="nb-NO"/>
        </w:rPr>
        <w:t>Trừ trường hợp Hai Bên có thỏa thuận khác, Tiền Bảo Đảm được xử lý như sau:</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Bên A tìm kiếm được Bất Động Sản theo nguyện vọng của Bên B tại Đơn Đăng Ký theo đúng quy định tại Thoả Thuận này và Chủ Đầu Tư đã gửi </w:t>
      </w:r>
      <w:r>
        <w:rPr>
          <w:bCs/>
          <w:color w:themeColor="text1" w:val="000000"/>
          <w:lang w:val="nb-NO"/>
        </w:rPr>
        <w:t>Thông báo mời ký kết Hợp Đồng Giao Dịch</w:t>
      </w:r>
      <w:r>
        <w:rPr>
          <w:color w:themeColor="text1" w:val="000000"/>
          <w:lang w:val="nb-NO"/>
        </w:rPr>
        <w:t xml:space="preserve"> (“</w:t>
      </w:r>
      <w:r>
        <w:rPr>
          <w:b/>
          <w:bCs/>
          <w:color w:themeColor="text1" w:val="000000"/>
          <w:lang w:val="nb-NO"/>
        </w:rPr>
        <w:t>Giao Dịch Được Xác Nhận</w:t>
      </w:r>
      <w:r>
        <w:rPr>
          <w:color w:themeColor="text1" w:val="000000"/>
          <w:lang w:val="nb-NO"/>
        </w:rPr>
        <w:t>”) và Bên B đã ký kết Hợp Đồng Giao Dịch theo thông báo bằng văn bản của Bên A/Chủ Đầu Tư thì Bên B đồng ý ủy quyền cho Bên A để chuyển toàn bộ Tiền Bảo Đảm mà Bên B đã nộp và các khoản tiền khác mà Bên B được hưởng theo quy định của Thỏa Thuận này (nếu có) (sau khi trừ đi các nghĩa vụ Bên B phải thanh toán cho Bên A theo Thỏa Thuận và/hoặc các khoản thuế Bên B phải thanh toán theo quy định của pháp luật) cho Chủ Đầu Tư để thanh toán Giá Bán Bất Động Sản theo tiến độ quy định tại Hợp Đồng Giao Dịch.</w:t>
      </w:r>
    </w:p>
    <w:p>
      <w:pPr>
        <w:pStyle w:val="Default"/>
        <w:tabs>
          <w:tab w:val="left" w:pos="720" w:leader="none"/>
        </w:tabs>
        <w:spacing w:lineRule="auto" w:line="276" w:before="120" w:after="120"/>
        <w:ind w:left="720"/>
        <w:jc w:val="both"/>
        <w:rPr>
          <w:color w:themeColor="text1" w:val="000000"/>
          <w:lang w:val="nb-NO"/>
        </w:rPr>
      </w:pPr>
      <w:r>
        <w:rPr>
          <w:color w:themeColor="text1" w:val="000000"/>
          <w:lang w:val="nb-NO"/>
        </w:rPr>
        <w:t>Trường hợp tại thời điểm Giao Dịch Được Xác Nhận nếu:</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w:t>
        <w:tab/>
      </w:r>
      <w:bookmarkStart w:id="8" w:name="_Hlk217659678"/>
      <w:r>
        <w:rPr>
          <w:color w:themeColor="text1" w:val="000000"/>
          <w:lang w:val="nb-NO"/>
        </w:rPr>
        <w:t xml:space="preserve">Số Tiền Bảo Đảm mà Bên B đã nộp nhiều hơn </w:t>
      </w:r>
      <w:bookmarkEnd w:id="8"/>
      <w:r>
        <w:rPr>
          <w:color w:themeColor="text1" w:val="000000"/>
          <w:lang w:val="nb-NO"/>
        </w:rPr>
        <w:t>số tiền phải thanh toán Đợt 1 của Hợp Đồng Giao Dịch thì Bên B đồng ý để Chủ Đầu Tư điều chỉnh tiến độ thanh toán trong Hợp Đồng Giao Dịch để chuyển hết Tiền Bảo Đảm còn thừa vào việc thanh toán Giá Bán Bất Động Sản theo Hợp Đồng Giao Dịch và/hoặc theo thỏa thuận khác được ký kết giữa Bên B và Chủ Đầu Tư (nếu có).</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(ii) Số Tiền Bảo Đảm mà Bên B đã nộp ít hơn Đợt 1 của Hợp Đồng Giao Dịch thì Bên B có trách nhiệm thanh toán đủ trước khi ký Hợp Đồng Giao Dịch.</w:t>
      </w:r>
    </w:p>
    <w:p>
      <w:pPr>
        <w:pStyle w:val="Default"/>
        <w:numPr>
          <w:ilvl w:val="0"/>
          <w:numId w:val="13"/>
        </w:numPr>
        <w:tabs>
          <w:tab w:val="left" w:pos="720" w:leader="none"/>
          <w:tab w:val="left" w:pos="900" w:leader="none"/>
        </w:tabs>
        <w:spacing w:lineRule="auto" w:line="276" w:before="120" w:after="120"/>
        <w:ind w:hanging="720" w:left="720"/>
        <w:jc w:val="both"/>
        <w:rPr>
          <w:color w:themeColor="text1" w:val="000000"/>
          <w:lang w:val="nb-NO"/>
        </w:rPr>
      </w:pPr>
      <w:r>
        <w:rPr>
          <w:color w:themeColor="text1" w:val="000000"/>
          <w:lang w:val="nb-NO"/>
        </w:rPr>
        <w:t>Trường hợp Bên B chậm ký Hợp Đồng Giao Dịch theo thời hạn tại thông báo của Chủ Đầu Tư/Bên A thì Bên B đồng ý sẽ trả cho Bên A một khoản tiền được tính theo lãi suất bằng 0,03%/ngày trên Tiền Bảo Đảm tính từ Ngày Đến Hạn Ký Hợp Đồng Giao Dịch theo thông báo của Chủ Đầu Tư/Bên A cho đến ngày Bên B thực tế ký Hợp Đồng Giao Dịch.</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(i) tổng thời gian Bên B chậm nộp Tiền Bảo Đảm quá 15 (mười lăm) ngày so với ngày đến hạn theo quy định tại Điều 3.2 (a); hoặc (ii) Bên B hủy đăng ký nguyện vọng tại Đơn Đăng Ký; hoặc (iii) Bên B từ chối thực hiện việc ký kết Hợp Đồng Giao Dịch theo thông báo của Chủ Đầu Tư/Bên A; hoặc (iv) Bên B chậm ký kết Hợp Đồng Giao Dịch trong thời hạn quá 15 (mười lăm) ngày kể từ Ngày Đến Hạn Ký Hợp Đồng Giao Dịch hoặc thời hạn khác theo thông báo của Bên A/Chủ Đầu Tư; hoặc (v) Bên B vi phạm cam kết theo quy định tại Điều 2.2 (j) của Thỏa Thuận này; hoặc (vi) Bên B vi phạm bất kỳ cam kết nào khác theo quy định của Thỏa Thuận này, thì Bên B đồng ý rằng Bên A được quyền: </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Đơn phương chấm dứt Thỏa Thuận này; và</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 xml:space="preserve">Khấu trừ từ Tiền Bảo Đảm mà Bên B đã nộp để thanh toán khoản Phí Dịch Vụ mà Bên B phải trả như quy định tại Điều 1.2 Thỏa Thuận này; và </w:t>
      </w:r>
    </w:p>
    <w:p>
      <w:pPr>
        <w:pStyle w:val="Default"/>
        <w:numPr>
          <w:ilvl w:val="0"/>
          <w:numId w:val="13"/>
        </w:numPr>
        <w:tabs>
          <w:tab w:val="left" w:pos="720" w:leader="none"/>
          <w:tab w:val="left" w:pos="900" w:leader="none"/>
        </w:tabs>
        <w:spacing w:lineRule="auto" w:line="276" w:before="80" w:after="80"/>
        <w:ind w:hanging="720" w:left="720"/>
        <w:jc w:val="both"/>
        <w:rPr>
          <w:strike/>
          <w:color w:themeColor="text1" w:val="000000"/>
          <w:spacing w:val="-2"/>
          <w:lang w:val="nb-NO"/>
        </w:rPr>
      </w:pPr>
      <w:r>
        <w:rPr>
          <w:color w:themeColor="text1" w:val="000000"/>
          <w:spacing w:val="-2"/>
          <w:lang w:val="nb-NO"/>
        </w:rPr>
        <w:t>Trường hợp Bên A không thể tìm kiếm Bất Động Sản theo nguyện vọng đã đăng ký của Bên B với điều kiện Bên B đã thực hiện đúng quy định tại Thỏa Thuận này thì Bên A sẽ gửi thông báo chấm dứt Thỏa Thuận cho Bên B. Thỏa Thuận sẽ chấm dứt vào ngày được nêu trong thông báo của Bên A. Bên A sẽ hoàn trả cho Bên B toàn bộ Tiền Bảo Đảm tính đến ngày chấm dứt Thỏa Thuận cùng với một khoản bồi thường tương ứng với số tiền được tính theo lãi suất bằng 0,03%/ngày (</w:t>
      </w:r>
      <w:r>
        <w:rPr>
          <w:bCs/>
          <w:color w:themeColor="text1" w:val="000000"/>
          <w:spacing w:val="-2"/>
        </w:rPr>
        <w:t xml:space="preserve">Không phẩy không ba </w:t>
      </w:r>
      <w:r>
        <w:rPr>
          <w:color w:themeColor="text1" w:val="000000"/>
          <w:spacing w:val="-2"/>
          <w:lang w:val="nb-NO"/>
        </w:rPr>
        <w:t>phần trăm một ngày) trên Tiền Bảo Đảm Bên B đã nộp nhân với thời gian tính lãi, tính từ Ngày Bắt Đầu Tính Lãi như quy định tại Tiết (i) Điều 2.1 (c) cho đến ngày chấm dứt Thỏa Thuận theo thông báo của Bên A.</w:t>
      </w:r>
    </w:p>
    <w:p>
      <w:pPr>
        <w:pStyle w:val="Default"/>
        <w:tabs>
          <w:tab w:val="left" w:pos="720" w:leader="none"/>
          <w:tab w:val="left" w:pos="900" w:leader="none"/>
        </w:tabs>
        <w:spacing w:lineRule="auto" w:line="276" w:before="80" w:after="80"/>
        <w:ind w:left="720"/>
        <w:jc w:val="both"/>
        <w:rPr>
          <w:color w:themeColor="text1" w:val="000000"/>
          <w:lang w:val="nb-NO"/>
        </w:rPr>
      </w:pPr>
      <w:r>
        <w:rPr>
          <w:color w:themeColor="text1" w:val="000000"/>
          <w:lang w:val="nb-NO"/>
        </w:rPr>
        <w:t>Sau khi Bên A đã hoàn tất việc thanh toán cho Bên B khoản bồi thường nêu trên, Thỏa Thuận này được xem như tự động chấm dứt và thanh lý.</w:t>
      </w:r>
    </w:p>
    <w:p>
      <w:pPr>
        <w:pStyle w:val="Default"/>
        <w:spacing w:lineRule="auto" w:line="276" w:before="80" w:after="80"/>
        <w:ind w:hanging="720" w:left="720"/>
        <w:jc w:val="both"/>
        <w:rPr>
          <w:color w:themeColor="text1" w:val="000000"/>
          <w:lang w:val="nb-NO"/>
        </w:rPr>
      </w:pPr>
      <w:r>
        <w:rPr>
          <w:b/>
          <w:bCs/>
          <w:color w:themeColor="text1" w:val="000000"/>
          <w:lang w:val="nb-NO"/>
        </w:rPr>
        <w:t xml:space="preserve">Điều 4. Chuyển nhượng quyền và nghĩa vụ theo </w:t>
      </w:r>
      <w:r>
        <w:rPr>
          <w:b/>
          <w:color w:themeColor="text1" w:val="000000"/>
          <w:lang w:val="nb-NO"/>
        </w:rPr>
        <w:t xml:space="preserve">Thỏa Thuận </w:t>
      </w:r>
    </w:p>
    <w:p>
      <w:pPr>
        <w:pStyle w:val="Default"/>
        <w:spacing w:lineRule="auto" w:line="276" w:before="80" w:after="80"/>
        <w:ind w:left="720"/>
        <w:jc w:val="both"/>
        <w:rPr>
          <w:color w:themeColor="text1" w:val="000000"/>
          <w:lang w:val="nb-NO"/>
        </w:rPr>
      </w:pPr>
      <w:r>
        <w:rPr>
          <w:color w:themeColor="text1" w:val="000000"/>
          <w:lang w:val="nb-NO"/>
        </w:rPr>
        <w:t>Bên B có thể chuyển nhượng quyền và nghĩa vụ của mình theo Thỏa Thuận</w:t>
      </w:r>
      <w:r>
        <w:rPr>
          <w:color w:themeColor="text1" w:val="000000"/>
          <w:lang w:val="it-IT"/>
        </w:rPr>
        <w:t xml:space="preserve"> này </w:t>
      </w:r>
      <w:r>
        <w:rPr>
          <w:color w:themeColor="text1" w:val="000000"/>
          <w:lang w:val="nb-NO"/>
        </w:rPr>
        <w:t>cho một bên thứ ba (“</w:t>
      </w:r>
      <w:r>
        <w:rPr>
          <w:b/>
          <w:color w:themeColor="text1" w:val="000000"/>
          <w:lang w:val="nb-NO"/>
        </w:rPr>
        <w:t>Bên Nhận Chuyển Nhượng</w:t>
      </w:r>
      <w:r>
        <w:rPr>
          <w:color w:themeColor="text1" w:val="000000"/>
          <w:lang w:val="nb-NO"/>
        </w:rPr>
        <w:t xml:space="preserve">”) bằng một văn bản chuyển nhượng (theo Mẫu do Bên A cung cấp) có xác nhận của Bên A với điều kiện Bên B đã hoàn thành nghĩa vụ tài chính theo quy định tại Thỏa Thuận </w:t>
      </w:r>
      <w:r>
        <w:rPr>
          <w:color w:themeColor="text1" w:val="000000"/>
          <w:lang w:val="it-IT"/>
        </w:rPr>
        <w:t xml:space="preserve">này và các thỏa thuận khác liên quan đến việc thực hiện </w:t>
      </w:r>
      <w:r>
        <w:rPr>
          <w:color w:themeColor="text1" w:val="000000"/>
          <w:lang w:val="nb-NO"/>
        </w:rPr>
        <w:t xml:space="preserve">Thỏa Thuận </w:t>
      </w:r>
      <w:r>
        <w:rPr>
          <w:color w:themeColor="text1" w:val="000000"/>
          <w:lang w:val="it-IT"/>
        </w:rPr>
        <w:t>(nếu có)</w:t>
      </w:r>
      <w:r>
        <w:rPr>
          <w:color w:themeColor="text1" w:val="000000"/>
          <w:lang w:val="nb-NO"/>
        </w:rPr>
        <w:t xml:space="preserve"> trước khi thực hiện việc chuyển nhượng. Bên Nhận Chuyển Nhượng sẽ kế thừa toàn bộ các quyền và nghĩa vụ của Bên B theo Thỏa Thuận</w:t>
      </w:r>
      <w:r>
        <w:rPr>
          <w:color w:themeColor="text1" w:val="000000"/>
          <w:lang w:val="it-IT"/>
        </w:rPr>
        <w:t xml:space="preserve"> này </w:t>
      </w:r>
      <w:r>
        <w:rPr>
          <w:color w:themeColor="text1" w:val="000000"/>
          <w:lang w:val="nb-NO"/>
        </w:rPr>
        <w:t>kể cả các biện pháp bảo đảm đi kèm Thỏa Thuận này.</w:t>
      </w:r>
    </w:p>
    <w:p>
      <w:pPr>
        <w:pStyle w:val="Default"/>
        <w:spacing w:lineRule="auto" w:line="276" w:before="80" w:after="80"/>
        <w:ind w:left="720"/>
        <w:jc w:val="both"/>
        <w:rPr>
          <w:color w:themeColor="text1" w:val="000000"/>
          <w:lang w:val="nb-NO"/>
        </w:rPr>
      </w:pPr>
      <w:r>
        <w:rPr>
          <w:color w:themeColor="text1" w:val="000000"/>
          <w:lang w:val="nb-NO"/>
        </w:rPr>
        <w:t>Bên B cam kết đảm bảo và miễn trừ cho Bên A bất kỳ trách nhiệm, khiếu nại, khiếu kiện hoặc yêu cầu, và chi phí nào phát sinh từ hoặc liên quan đến: (i) việc chuyển nhượng giữa Bên B và Bên Nhận Chuyển Nhượng theo văn bản chuyển nhượng; và (ii) việc Bên A chấp thuận và thực hiện việc xác nhận chuyển nhượng theo yêu cầu của Bên B, bao gồm nhưng không giới hạn ở các nghĩa vụ của Bên B với các cơ quan nhà nước có thẩm quyền phát sinh từ và liên quan đến việc chuyển nhượng này (nếu có).</w:t>
      </w:r>
    </w:p>
    <w:p>
      <w:pPr>
        <w:pStyle w:val="PHULUC"/>
        <w:widowControl w:val="false"/>
        <w:spacing w:lineRule="atLeast" w:line="320" w:before="80" w:after="80"/>
        <w:ind w:left="720"/>
        <w:jc w:val="both"/>
        <w:rPr>
          <w:b w:val="false"/>
          <w:color w:themeColor="text1" w:val="000000"/>
          <w:lang w:val="nb-NO"/>
        </w:rPr>
      </w:pPr>
      <w:r>
        <w:rPr>
          <w:b w:val="false"/>
          <w:color w:themeColor="text1" w:val="000000"/>
          <w:lang w:val="nb-NO"/>
        </w:rPr>
        <w:t xml:space="preserve">Bên B đồng ý rằng Bên A được quyền chuyển giao/chuyển nhượng quyền và nghĩa vụ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 xml:space="preserve">này trên cơ sở tổ chức, cơ cấu lại Công ty (chia, tách, hợp nhất, sáp nhập) hoặc hình thức khác theo quy định của pháp luật Việt Nam với điều kiện bên nhận chuyển giao/chuyển nhượng sẽ kế thừa/tiếp nhận các quyền và nghĩa vụ của Bên A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này.</w:t>
      </w:r>
    </w:p>
    <w:p>
      <w:pPr>
        <w:pStyle w:val="Heading1"/>
        <w:spacing w:lineRule="auto" w:line="276" w:before="80" w:after="80"/>
        <w:ind w:hanging="720" w:left="720"/>
        <w:rPr>
          <w:rFonts w:ascii="Times New Roman" w:hAnsi="Times New Roman"/>
          <w:color w:themeColor="text1" w:val="000000"/>
          <w:sz w:val="24"/>
          <w:szCs w:val="24"/>
        </w:rPr>
      </w:pPr>
      <w:r>
        <w:rPr>
          <w:rFonts w:ascii="Times New Roman" w:hAnsi="Times New Roman"/>
          <w:color w:themeColor="text1" w:val="000000"/>
          <w:sz w:val="24"/>
          <w:szCs w:val="24"/>
          <w:lang w:val="nb-NO"/>
        </w:rPr>
        <w:t>Điều 5</w:t>
      </w:r>
      <w:r>
        <w:rPr>
          <w:rFonts w:ascii="Times New Roman" w:hAnsi="Times New Roman"/>
          <w:color w:themeColor="text1" w:val="000000"/>
          <w:sz w:val="24"/>
          <w:szCs w:val="24"/>
        </w:rPr>
        <w:t xml:space="preserve">. </w:t>
      </w:r>
      <w:r>
        <w:rPr>
          <w:rFonts w:ascii="Times New Roman" w:hAnsi="Times New Roman"/>
          <w:color w:themeColor="text1" w:val="000000"/>
          <w:sz w:val="24"/>
          <w:szCs w:val="24"/>
          <w:lang w:val="nb-NO"/>
        </w:rPr>
        <w:t xml:space="preserve">Sự kiện bất khả kháng  </w:t>
      </w:r>
    </w:p>
    <w:p>
      <w:pPr>
        <w:pStyle w:val="Normal"/>
        <w:numPr>
          <w:ilvl w:val="0"/>
          <w:numId w:val="18"/>
        </w:numPr>
        <w:spacing w:before="80" w:after="8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Sự kiện bất khả kháng là bất kỳ sự kiện nào xảy ra một cách khách quan, không thể lường trước và không thể khắc phục được mặc dù đã áp dụng mọi biện pháp cần thiết và khả năng cho phép, bao gồm nhưng không giới hạn: thiên tai, lở đất, chiến tranh, hỏa hoạn, biểu tình, đình công, sự thay đổi của chính sách, luật pháp, chỉ thị hoặc quyết định của cơ quan nhà nước có thẩm quyền mà không do lỗi của một hoặc Các Bên hoặc các trường hợp khác do pháp luật quy định; Không có khả năng có được bất kỳ các phê chuẩn có liên quan nào từ các cơ quan nhà nước có thẩm quyền do thay đổi pháp luật, hoặc bất kỳ các hạn chế hoặc ngăn cấm nào do các cơ quan nhà nước có thẩm quyền ban hành mà không do lỗi của Bên A (sau đây gọi là </w:t>
      </w:r>
      <w:r>
        <w:rPr>
          <w:rFonts w:ascii="Times New Roman" w:hAnsi="Times New Roman"/>
          <w:b/>
          <w:color w:themeColor="text1" w:val="000000"/>
          <w:sz w:val="24"/>
          <w:szCs w:val="24"/>
        </w:rPr>
        <w:t>“Sự Kiện Bất Khả Kháng”</w:t>
      </w:r>
      <w:r>
        <w:rPr>
          <w:rFonts w:ascii="Times New Roman" w:hAnsi="Times New Roman"/>
          <w:color w:themeColor="text1" w:val="000000"/>
          <w:sz w:val="24"/>
          <w:szCs w:val="24"/>
        </w:rPr>
        <w:t>). Để làm rõ, mọi khó khăn tài chính của một Bên trong quá trình thực hiện Thỏa Thuận</w:t>
      </w:r>
      <w:r>
        <w:rPr>
          <w:rFonts w:ascii="Times New Roman" w:hAnsi="Times New Roman"/>
          <w:color w:themeColor="text1" w:val="000000"/>
          <w:sz w:val="24"/>
          <w:szCs w:val="24"/>
          <w:lang w:val="it-IT"/>
        </w:rPr>
        <w:t xml:space="preserve"> </w:t>
      </w:r>
      <w:r>
        <w:rPr>
          <w:rFonts w:ascii="Times New Roman" w:hAnsi="Times New Roman"/>
          <w:color w:themeColor="text1" w:val="000000"/>
          <w:sz w:val="24"/>
          <w:szCs w:val="24"/>
        </w:rPr>
        <w:t>này không được coi là Sự Kiện Bất Khả Kháng.</w:t>
      </w:r>
    </w:p>
    <w:p>
      <w:pPr>
        <w:pStyle w:val="Normal"/>
        <w:numPr>
          <w:ilvl w:val="0"/>
          <w:numId w:val="18"/>
        </w:numPr>
        <w:spacing w:before="60" w:after="6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Bên không thể thực hiện được nghĩa vụ của mình do Sự Kiện Bất Khả Kháng (sau đây gọi là </w:t>
      </w:r>
      <w:r>
        <w:rPr>
          <w:rFonts w:ascii="Times New Roman" w:hAnsi="Times New Roman"/>
          <w:b/>
          <w:color w:themeColor="text1" w:val="000000"/>
          <w:sz w:val="24"/>
          <w:szCs w:val="24"/>
        </w:rPr>
        <w:t>“Bên Bị Ảnh Hưởng”</w:t>
      </w:r>
      <w:r>
        <w:rPr>
          <w:rFonts w:ascii="Times New Roman" w:hAnsi="Times New Roman"/>
          <w:color w:themeColor="text1" w:val="000000"/>
          <w:sz w:val="24"/>
          <w:szCs w:val="24"/>
        </w:rPr>
        <w:t>) không bị coi là vi phạm Thỏa Thuận</w:t>
      </w:r>
      <w:r>
        <w:rPr>
          <w:color w:themeColor="text1" w:val="000000"/>
        </w:rPr>
        <w:t xml:space="preserve"> </w:t>
      </w:r>
      <w:r>
        <w:rPr>
          <w:rFonts w:ascii="Times New Roman" w:hAnsi="Times New Roman"/>
          <w:color w:themeColor="text1" w:val="000000"/>
          <w:sz w:val="24"/>
          <w:szCs w:val="24"/>
        </w:rPr>
        <w:t xml:space="preserve">và không phải chịu trách nhiệm về các mất mát, tổn thất hoặc chi phí đối với Bên kia với điều kiện Bên Bị Ảnh Hưởng đã: </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Tiến hành các biện pháp ngăn ngừa hợp lý và các biện pháp cần thiết để hạn chế tối đa ảnh hưởng do Sự Kiện Bất Khả Kháng gây ra và/</w:t>
      </w:r>
      <w:r>
        <w:rPr>
          <w:color w:themeColor="text1" w:val="000000"/>
        </w:rPr>
        <w:t>hoặc tìm giải pháp thay thế để thực hiện trách nhiệm liên quan</w:t>
      </w:r>
      <w:r>
        <w:rPr>
          <w:color w:themeColor="text1" w:val="000000"/>
          <w:lang w:val="it-IT"/>
        </w:rPr>
        <w:t>;</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Thông báo cho Bên kia về việc xảy ra Sự Kiện Bất Khả Kháng trong vòng 07 (bảy) ngày kể từ ngày xảy ra Sự Kiện Bất Khả Kháng; và</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Tiếp tục thực hiện trách nhiệm liên quan ngay khi chấm dứt Sự Kiện Bất Khả Kháng.</w:t>
      </w:r>
    </w:p>
    <w:p>
      <w:pPr>
        <w:pStyle w:val="BodyText"/>
        <w:spacing w:lineRule="auto" w:line="276" w:before="60" w:after="60"/>
        <w:ind w:hanging="720" w:left="720"/>
        <w:jc w:val="both"/>
        <w:rPr>
          <w:b/>
          <w:color w:themeColor="text1" w:val="000000"/>
          <w:lang w:val="it-IT"/>
        </w:rPr>
      </w:pPr>
      <w:r>
        <w:rPr>
          <w:b/>
          <w:color w:themeColor="text1" w:val="000000"/>
          <w:lang w:val="it-IT"/>
        </w:rPr>
        <w:t>Điều 6. Thông báo</w:t>
      </w:r>
    </w:p>
    <w:p>
      <w:pPr>
        <w:pStyle w:val="ListParagraph"/>
        <w:numPr>
          <w:ilvl w:val="0"/>
          <w:numId w:val="17"/>
        </w:numPr>
        <w:spacing w:before="60" w:after="60"/>
        <w:ind w:hanging="720" w:left="720"/>
        <w:contextualSpacing w:val="false"/>
        <w:jc w:val="both"/>
        <w:rPr>
          <w:rFonts w:ascii="Times New Roman" w:hAnsi="Times New Roman"/>
          <w:b/>
          <w:bCs/>
          <w:color w:themeColor="text1" w:val="000000"/>
          <w:sz w:val="24"/>
          <w:szCs w:val="24"/>
          <w:lang w:val="de-DE"/>
        </w:rPr>
      </w:pPr>
      <w:r>
        <w:rPr>
          <w:rFonts w:ascii="Times New Roman" w:hAnsi="Times New Roman"/>
          <w:color w:themeColor="text1" w:val="000000"/>
          <w:sz w:val="24"/>
          <w:szCs w:val="24"/>
          <w:lang w:val="it-IT"/>
        </w:rPr>
        <w:t xml:space="preserve">Trừ trường hợp Thỏa Thuận có quy định cụ thể khác hoặc Hai Bên có thỏa thuận khác bằng văn bản, tất cả các thỏa thuận, biên bản, thông báo, thư từ trao đổi, yêu cầu, chấp thuận... phát sinh từ và/hoặc liên quan đến Thỏa Thuận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Thông Báo</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của một Bên</w:t>
      </w:r>
      <w:r>
        <w:rPr>
          <w:rFonts w:ascii="Times New Roman" w:hAnsi="Times New Roman"/>
          <w:b/>
          <w:bCs/>
          <w:color w:themeColor="text1" w:val="000000"/>
          <w:sz w:val="24"/>
          <w:szCs w:val="24"/>
          <w:lang w:val="it-IT"/>
        </w:rPr>
        <w:t xml:space="preserve"> </w:t>
      </w:r>
      <w:r>
        <w:rPr>
          <w:rFonts w:ascii="Times New Roman" w:hAnsi="Times New Roman"/>
          <w:bCs/>
          <w:color w:themeColor="text1" w:val="000000"/>
          <w:sz w:val="24"/>
          <w:szCs w:val="24"/>
          <w:lang w:val="it-IT"/>
        </w:rPr>
        <w:t>(</w:t>
      </w:r>
      <w:r>
        <w:rPr>
          <w:rFonts w:ascii="Times New Roman" w:hAnsi="Times New Roman"/>
          <w:color w:themeColor="text1" w:val="000000"/>
          <w:sz w:val="24"/>
          <w:szCs w:val="24"/>
          <w:lang w:val="it-IT"/>
        </w:rPr>
        <w:t>sau đây</w:t>
      </w:r>
      <w:r>
        <w:rPr>
          <w:rFonts w:ascii="Times New Roman" w:hAnsi="Times New Roman"/>
          <w:b/>
          <w:bCs/>
          <w:color w:themeColor="text1" w:val="000000"/>
          <w:sz w:val="24"/>
          <w:szCs w:val="24"/>
          <w:lang w:val="it-IT"/>
        </w:rPr>
        <w:t xml:space="preserve"> </w:t>
      </w:r>
      <w:r>
        <w:rPr>
          <w:rFonts w:ascii="Times New Roman" w:hAnsi="Times New Roman"/>
          <w:color w:themeColor="text1" w:val="000000"/>
          <w:sz w:val="24"/>
          <w:szCs w:val="24"/>
          <w:lang w:val="it-IT"/>
        </w:rPr>
        <w:t xml:space="preserve">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Gửi</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gửi cho Bên còn lại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Nhận</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phải đáp ứng yêu cầu: (a) được lập thành văn bản có chữ ký của người đại diện có thẩm quyền hoặc người được ủy quyền hợp pháp và được đóng dấu hợp lệ (nếu có) của Bên Gửi và (b) được gửi bằng một trong các hình thức: (i) gửi bảo đảm bằng đường bưu điện hoặc dịch vụ chuyển phát, (ii) giao tận tay; (iii) được gửi bằng email từ địa chỉ email giao dịch chính thức của Bên Gửi đến địa chỉ email giao dịch chính thức của Bên Nhận; hoặc (iv) các phương tiện truyền tải thông tin khác được Hai Bên đồng ý tại từng thời điểm và/hoặc được quy định theo Thỏa Thuận này. </w:t>
      </w:r>
      <w:r>
        <w:rPr>
          <w:rFonts w:ascii="Times New Roman" w:hAnsi="Times New Roman"/>
          <w:color w:themeColor="text1" w:val="000000"/>
          <w:sz w:val="24"/>
          <w:szCs w:val="24"/>
          <w:lang w:val="de-DE"/>
        </w:rPr>
        <w:t xml:space="preserve">Bất kỳ Thông Báo được gửi từ địa chỉ email đã được xác nhận theo </w:t>
      </w:r>
      <w:r>
        <w:rPr>
          <w:rFonts w:ascii="Times New Roman" w:hAnsi="Times New Roman"/>
          <w:color w:themeColor="text1" w:val="000000"/>
          <w:sz w:val="24"/>
          <w:szCs w:val="24"/>
          <w:lang w:val="it-IT"/>
        </w:rPr>
        <w:t xml:space="preserve">Thỏa Thuận </w:t>
      </w:r>
      <w:r>
        <w:rPr>
          <w:rFonts w:ascii="Times New Roman" w:hAnsi="Times New Roman"/>
          <w:color w:themeColor="text1" w:val="000000"/>
          <w:sz w:val="24"/>
          <w:szCs w:val="24"/>
          <w:lang w:val="de-DE"/>
        </w:rPr>
        <w:t xml:space="preserve">này sẽ được xem là đã được người đại diện có thẩm quyền của Bên Gửi phê duyệt và sẽ có giá trị như được gửi theo phương thức (a) của Điều này.  </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Thời điểm xác định Thông Báo đã được Bên Nhận nhận được như sau: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thứ ba kể từ ngày đóng dấu bưu điện/hãng chuyển phát trong trường hợp gửi thông báo bằng đường bưu điện hoặc dịch vụ chuyển phát;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được ghi trên biên bản giao nhận, nếu giao tận tay;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gửi nếu Bên Gửi nhận được thông báo chuyển email thành công, nếu gửi bằng email;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Vào ngày ghi trên phiếu báo phát thành công của các phương tiện truyền tải thông tin khác được Hai Bên đồng ý tại từng thời điểm.</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Thông tin địa chỉ giao dịch chính thức nhận và gửi Thông Báo của Hai Bên như quy định tại phần đầu của Thỏa Thuận </w:t>
      </w:r>
      <w:r>
        <w:rPr>
          <w:rFonts w:ascii="Times New Roman" w:hAnsi="Times New Roman"/>
          <w:color w:themeColor="text1" w:val="000000"/>
          <w:sz w:val="24"/>
          <w:szCs w:val="24"/>
          <w:lang w:val="it-IT"/>
        </w:rPr>
        <w:t>này</w:t>
      </w:r>
      <w:r>
        <w:rPr>
          <w:rFonts w:ascii="Times New Roman" w:hAnsi="Times New Roman"/>
          <w:color w:themeColor="text1" w:val="000000"/>
          <w:sz w:val="24"/>
          <w:szCs w:val="24"/>
          <w:lang w:val="de-DE"/>
        </w:rPr>
        <w:t>.</w:t>
      </w:r>
    </w:p>
    <w:p>
      <w:pPr>
        <w:pStyle w:val="ListParagraph"/>
        <w:numPr>
          <w:ilvl w:val="0"/>
          <w:numId w:val="17"/>
        </w:numPr>
        <w:spacing w:before="60" w:after="60"/>
        <w:ind w:hanging="720" w:left="720"/>
        <w:contextualSpacing w:val="false"/>
        <w:jc w:val="both"/>
        <w:rPr>
          <w:rFonts w:ascii="Times New Roman" w:hAnsi="Times New Roman"/>
          <w:iCs/>
          <w:color w:themeColor="text1" w:val="000000"/>
          <w:sz w:val="24"/>
          <w:szCs w:val="24"/>
          <w:lang w:val="de-DE"/>
        </w:rPr>
      </w:pPr>
      <w:r>
        <w:rPr>
          <w:rFonts w:ascii="Times New Roman" w:hAnsi="Times New Roman"/>
          <w:color w:themeColor="text1" w:val="000000"/>
          <w:sz w:val="24"/>
          <w:szCs w:val="24"/>
          <w:lang w:val="de-DE"/>
        </w:rPr>
        <w:t>Khi một Bên có bất kỳ thay đổi nào về thông tin địa chỉ gửi và nhận Thông Báo thì phải</w:t>
      </w:r>
      <w:r>
        <w:rPr>
          <w:rFonts w:ascii="Times New Roman" w:hAnsi="Times New Roman"/>
          <w:color w:themeColor="text1" w:val="000000"/>
          <w:sz w:val="24"/>
          <w:szCs w:val="24"/>
          <w:lang w:val="it-IT"/>
        </w:rPr>
        <w:t xml:space="preserve"> thông báo cho Bên còn lại về sự thay đổi này ít nhất là 02 (hai) ngày làm việc trước khi áp dụng</w:t>
      </w:r>
      <w:r>
        <w:rPr>
          <w:rFonts w:ascii="Times New Roman" w:hAnsi="Times New Roman"/>
          <w:color w:themeColor="text1" w:val="000000"/>
          <w:sz w:val="24"/>
          <w:szCs w:val="24"/>
          <w:lang w:val="de-DE"/>
        </w:rPr>
        <w:t xml:space="preserve">. </w:t>
      </w:r>
      <w:r>
        <w:rPr>
          <w:rFonts w:ascii="Times New Roman" w:hAnsi="Times New Roman"/>
          <w:color w:themeColor="text1" w:val="000000"/>
          <w:sz w:val="24"/>
          <w:szCs w:val="24"/>
          <w:lang w:val="it-IT"/>
        </w:rPr>
        <w:t>Bên đã thực hiện/không thực hiện/thực hiện không đúng bất kỳ công việc nào do không nhận được thông báo theo cách thức quy định như trên được miễn trừ mọi trách nhiệm có liên quan và được Bên kia bồi hoàn các chi phí đã bỏ ra hoặc các chi phí, phí tổn, thiệt hại dù là vật chất hay phi vật chất phát sinh đối với phần công việc đã thực hiện/không thực hiện/thực hiện không đúng do không nhận được thông báo từ Bên còn lại.</w:t>
      </w:r>
    </w:p>
    <w:p>
      <w:pPr>
        <w:pStyle w:val="Default"/>
        <w:spacing w:lineRule="auto" w:line="276" w:before="60" w:after="60"/>
        <w:ind w:hanging="720" w:left="720"/>
        <w:jc w:val="both"/>
        <w:rPr>
          <w:color w:themeColor="text1" w:val="000000"/>
          <w:lang w:val="de-DE"/>
        </w:rPr>
      </w:pPr>
      <w:r>
        <w:rPr>
          <w:b/>
          <w:bCs/>
          <w:color w:themeColor="text1" w:val="000000"/>
          <w:lang w:val="de-DE"/>
        </w:rPr>
        <w:t xml:space="preserve">Điều 7. Hiệu lực và các điều khoản khác </w:t>
      </w:r>
    </w:p>
    <w:p>
      <w:pPr>
        <w:pStyle w:val="Default"/>
        <w:numPr>
          <w:ilvl w:val="0"/>
          <w:numId w:val="21"/>
        </w:numPr>
        <w:spacing w:lineRule="auto" w:line="276" w:before="60" w:after="60"/>
        <w:ind w:hanging="720" w:left="720"/>
        <w:jc w:val="both"/>
        <w:rPr>
          <w:color w:themeColor="text1" w:val="000000"/>
          <w:spacing w:val="-4"/>
          <w:lang w:val="de-DE"/>
        </w:rPr>
      </w:pPr>
      <w:r>
        <w:rPr>
          <w:color w:themeColor="text1" w:val="000000"/>
          <w:spacing w:val="-4"/>
          <w:lang w:val="de-DE"/>
        </w:rPr>
        <w:t xml:space="preserve">Thỏa Thuận này có hiệu lực kể từ ngày ký và sẽ chấm dứt khi Hai Bên đã thực hiện xong các quyền, nghĩa vụ của mình, trừ trường hợp có thỏa thuận khác bằng văn bản giữa Hai Bên.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Mỗi Bên đồng ý và chấp nhận rằng: (i) Thỏa Thuận này được thực hiện theo quy định của pháp luật Việt Nam, trường hợp có sự thay đổi của quy định pháp luật, Hai Bên sẽ thực hiện theo sự thay đổi đó (nếu có); (ii) việc ký kết và thực hiện Thỏa Thuận này do Hai Bên hoàn toàn tự nguyện; và các nghĩa vụ của Bên đó đã được mô tả cụ thể và thuộc loại nghĩa vụ có thể thi hành được bởi Bên đó.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Trong trường hợp một phần của Thỏa Thuận này bị vô hiệu, căn cứ vào nội dung và mục đích của Thỏa Thuận này, Hai Bên sẽ thay thế phần nội dung vô hiệu bằng các quy định có hiệu lực và giá trị ràng buộc trong phạm vi tối đa có thể tương đồng với nội dung và mục đích của phần bị vô hiệu. Để làm rõ, phần vô hiệu đó sẽ không ảnh hưởng đến hiệu lực của phần còn lại của Thỏa Thuận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Trong quá trình thực hiện Thỏa Thuận, nếu có phát sinh tranh chấp, Hai Bên cùng bàn bạc, thỏa thuận giải quyết trên tinh thần hợp tác. Thời hạn thương lượng là 30 (ba mươi) ngày kể từ ngày một Bên nhận được yêu cầu giải quyết tranh chấp của Bên kia. Nếu quá thời hạn thương lượng nêu tại Điều này mà Hai Bên không tự giải quyết được hoặc nếu một Bên cố tình không tham gia thương lượng, thì một trong Hai Bên có quyền đưa tranh chấp ra giải quyết tại Tòa án có thẩm quyền theo quy định pháp luật.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Thỏa Thuận này được lập thành 03 (ba) bản gốc có giá trị pháp lý như nhau. Bên A giữ 02 (hai) bản và Bên B giữ 01 (một) bản để làm cơ sở thực hiện. </w:t>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Default"/>
              <w:spacing w:lineRule="auto" w:line="276" w:before="120" w:after="120"/>
              <w:ind w:hanging="720" w:left="720"/>
              <w:jc w:val="center"/>
              <w:rPr>
                <w:b/>
                <w:bCs/>
                <w:color w:themeColor="text1" w:val="000000"/>
              </w:rPr>
            </w:pPr>
            <w:r>
              <w:rPr>
                <w:b/>
                <w:bCs/>
                <w:color w:themeColor="text1" w:val="000000"/>
              </w:rPr>
              <w:t>BÊN 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t>Trương Xuân Quý</w:t>
            </w:r>
          </w:p>
        </w:tc>
        <w:tc>
          <w:tcPr>
            <w:tcW w:w="4393" w:type="dxa"/>
            <w:tcBorders/>
          </w:tcPr>
          <w:p>
            <w:pPr>
              <w:pStyle w:val="Default"/>
              <w:spacing w:lineRule="auto" w:line="276" w:before="120" w:after="120"/>
              <w:ind w:hanging="720" w:left="720"/>
              <w:jc w:val="center"/>
              <w:rPr>
                <w:b/>
                <w:bCs/>
                <w:color w:themeColor="text1" w:val="000000"/>
              </w:rPr>
            </w:pPr>
            <w:r>
              <w:rPr>
                <w:b/>
                <w:bCs/>
                <w:color w:themeColor="text1" w:val="000000"/>
              </w:rPr>
              <w:t>BÊN B</w:t>
            </w:r>
            <w:bookmarkStart w:id="9" w:name="_Hlk218522068"/>
            <w:bookmarkStart w:id="10" w:name="_Hlk218608934"/>
            <w:bookmarkEnd w:id="9"/>
            <w:bookmarkEnd w:id="10"/>
          </w:p>
        </w:tc>
      </w:tr>
    </w:tbl>
    <w:p>
      <w:pPr>
        <w:pStyle w:val="Default"/>
        <w:spacing w:lineRule="auto" w:line="336"/>
        <w:jc w:val="center"/>
        <w:rPr>
          <w:color w:themeColor="text1" w:val="000000"/>
        </w:rPr>
      </w:pPr>
      <w:r>
        <w:rPr>
          <w:color w:themeColor="text1" w:val="000000"/>
        </w:rPr>
      </w:r>
    </w:p>
    <w:sectPr>
      <w:footerReference w:type="even" r:id="rId5"/>
      <w:footerReference w:type="default" r:id="rId6"/>
      <w:footerReference w:type="first" r:id="rId7"/>
      <w:footnotePr>
        <w:numFmt w:val="decimal"/>
      </w:footnotePr>
      <w:type w:val="nextPage"/>
      <w:pgSz w:w="11906" w:h="16838"/>
      <w:pgMar w:left="1412" w:right="1140" w:gutter="0" w:header="0" w:top="1412" w:footer="244"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Liberation Mono">
    <w:altName w:val="Courier New"/>
    <w:charset w:val="01"/>
    <w:family w:val="swiss"/>
    <w:pitch w:val="variable"/>
  </w:font>
  <w:font w:name="Wingdings">
    <w:charset w:val="02"/>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9</w:t>
    </w:r>
    <w:r>
      <w:rPr>
        <w:rFonts w:ascii="Times New Roman" w:hAnsi="Times New Roman"/>
      </w:rPr>
      <w:fldChar w:fldCharType="end"/>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9</w:t>
    </w:r>
    <w:r>
      <w:rPr>
        <w:rFonts w:ascii="Times New Roman" w:hAnsi="Times New Roman"/>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120"/>
        <w:rPr>
          <w:rFonts w:ascii="Times New Roman" w:hAnsi="Times New Roman"/>
        </w:rPr>
      </w:pPr>
      <w:r>
        <w:rPr>
          <w:rStyle w:val="FootnoteCharacters"/>
        </w:rPr>
        <w:footnoteRef/>
      </w:r>
      <w:r>
        <w:rPr>
          <w:rFonts w:ascii="Times New Roman" w:hAnsi="Times New Roman"/>
        </w:rPr>
        <w:t xml:space="preserve"> </w:t>
      </w:r>
      <w:r>
        <w:rPr>
          <w:rFonts w:ascii="Times New Roman" w:hAnsi="Times New Roman"/>
        </w:rPr>
        <w:t>20% giá trị QSD đất</w:t>
      </w:r>
    </w:p>
  </w:footnote>
  <w:footnote w:id="3">
    <w:p>
      <w:pPr>
        <w:pStyle w:val="FootnoteText"/>
        <w:spacing w:before="0" w:after="200"/>
        <w:rPr/>
      </w:pPr>
      <w:r>
        <w:rPr>
          <w:rStyle w:val="FootnoteCharacters"/>
        </w:rPr>
        <w:footnoteRef/>
      </w:r>
      <w:r>
        <w:rPr/>
        <w:t xml:space="preserve"> </w:t>
      </w:r>
      <w:r>
        <w:rPr>
          <w:rFonts w:ascii="Times New Roman" w:hAnsi="Times New Roman"/>
        </w:rPr>
        <w:t>Theo CSBH của dự án</w:t>
      </w:r>
    </w:p>
  </w:footnote>
</w:footnote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720" w:hanging="360"/>
      </w:pPr>
      <w:rPr>
        <w:b/>
        <w:rFonts w:cs="Times New Roman"/>
      </w:rPr>
    </w:lvl>
    <w:lvl w:ilvl="1">
      <w:start w:val="1"/>
      <w:isLgl/>
      <w:numFmt w:val="decimal"/>
      <w:lvlText w:val="%1.%2"/>
      <w:lvlJc w:val="left"/>
      <w:pPr>
        <w:tabs>
          <w:tab w:val="num" w:pos="0"/>
        </w:tabs>
        <w:ind w:left="720" w:hanging="360"/>
      </w:pPr>
      <w:rPr>
        <w:b/>
      </w:rPr>
    </w:lvl>
    <w:lvl w:ilvl="2">
      <w:start w:val="1"/>
      <w:isLgl/>
      <w:numFmt w:val="decimal"/>
      <w:lvlText w:val="%1.%2.%3"/>
      <w:lvlJc w:val="left"/>
      <w:pPr>
        <w:tabs>
          <w:tab w:val="num" w:pos="0"/>
        </w:tabs>
        <w:ind w:left="1080" w:hanging="720"/>
      </w:pPr>
      <w:rPr>
        <w:b/>
      </w:rPr>
    </w:lvl>
    <w:lvl w:ilvl="3">
      <w:start w:val="1"/>
      <w:isLgl/>
      <w:numFmt w:val="decimal"/>
      <w:lvlText w:val="%1.%2.%3.%4"/>
      <w:lvlJc w:val="left"/>
      <w:pPr>
        <w:tabs>
          <w:tab w:val="num" w:pos="0"/>
        </w:tabs>
        <w:ind w:left="1080" w:hanging="720"/>
      </w:pPr>
      <w:rPr>
        <w:b/>
      </w:rPr>
    </w:lvl>
    <w:lvl w:ilvl="4">
      <w:start w:val="1"/>
      <w:isLgl/>
      <w:numFmt w:val="decimal"/>
      <w:lvlText w:val="%1.%2.%3.%4.%5"/>
      <w:lvlJc w:val="left"/>
      <w:pPr>
        <w:tabs>
          <w:tab w:val="num" w:pos="0"/>
        </w:tabs>
        <w:ind w:left="1440" w:hanging="1080"/>
      </w:pPr>
      <w:rPr>
        <w:b/>
      </w:rPr>
    </w:lvl>
    <w:lvl w:ilvl="5">
      <w:start w:val="1"/>
      <w:isLgl/>
      <w:numFmt w:val="decimal"/>
      <w:lvlText w:val="%1.%2.%3.%4.%5.%6"/>
      <w:lvlJc w:val="left"/>
      <w:pPr>
        <w:tabs>
          <w:tab w:val="num" w:pos="0"/>
        </w:tabs>
        <w:ind w:left="1440" w:hanging="1080"/>
      </w:pPr>
      <w:rPr>
        <w:b/>
      </w:rPr>
    </w:lvl>
    <w:lvl w:ilvl="6">
      <w:start w:val="1"/>
      <w:isLgl/>
      <w:numFmt w:val="decimal"/>
      <w:lvlText w:val="%1.%2.%3.%4.%5.%6.%7"/>
      <w:lvlJc w:val="left"/>
      <w:pPr>
        <w:tabs>
          <w:tab w:val="num" w:pos="0"/>
        </w:tabs>
        <w:ind w:left="1800" w:hanging="1440"/>
      </w:pPr>
      <w:rPr>
        <w:b/>
      </w:rPr>
    </w:lvl>
    <w:lvl w:ilvl="7">
      <w:start w:val="1"/>
      <w:isLgl/>
      <w:numFmt w:val="decimal"/>
      <w:lvlText w:val="%1.%2.%3.%4.%5.%6.%7.%8"/>
      <w:lvlJc w:val="left"/>
      <w:pPr>
        <w:tabs>
          <w:tab w:val="num" w:pos="0"/>
        </w:tabs>
        <w:ind w:left="1800" w:hanging="1440"/>
      </w:pPr>
      <w:rPr>
        <w:b/>
      </w:rPr>
    </w:lvl>
    <w:lvl w:ilvl="8">
      <w:start w:val="1"/>
      <w:isLgl/>
      <w:numFmt w:val="decimal"/>
      <w:lvlText w:val="%1.%2.%3.%4.%5.%6.%7.%8.%9"/>
      <w:lvlJc w:val="left"/>
      <w:pPr>
        <w:tabs>
          <w:tab w:val="num" w:pos="0"/>
        </w:tabs>
        <w:ind w:left="2160" w:hanging="1800"/>
      </w:pPr>
      <w:rPr>
        <w:b/>
      </w:rPr>
    </w:lvl>
  </w:abstractNum>
  <w:abstractNum w:abstractNumId="3">
    <w:lvl w:ilvl="0">
      <w:start w:val="1"/>
      <w:numFmt w:val="lowerLetter"/>
      <w:lvlText w:val="%1)"/>
      <w:lvlJc w:val="left"/>
      <w:pPr>
        <w:tabs>
          <w:tab w:val="num" w:pos="0"/>
        </w:tabs>
        <w:ind w:left="360" w:hanging="360"/>
      </w:pPr>
      <w:rPr>
        <w:i w:val="false"/>
        <w:b/>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4">
    <w:lvl w:ilvl="0">
      <w:start w:val="1"/>
      <w:numFmt w:val="decimal"/>
      <w:lvlText w:val="2.%1"/>
      <w:lvlJc w:val="left"/>
      <w:pPr>
        <w:tabs>
          <w:tab w:val="num" w:pos="0"/>
        </w:tabs>
        <w:ind w:left="720" w:hanging="360"/>
      </w:pPr>
      <w:rPr>
        <w:i w:val="false"/>
        <w:b/>
        <w:iCs/>
        <w:bCs/>
        <w:rFonts w:ascii="Times New Roman" w:hAnsi="Times New Roman"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lowerLetter"/>
      <w:lvlText w:val="%1)"/>
      <w:lvlJc w:val="left"/>
      <w:pPr>
        <w:tabs>
          <w:tab w:val="num" w:pos="0"/>
        </w:tabs>
        <w:ind w:left="720" w:hanging="360"/>
      </w:pPr>
      <w:rPr>
        <w:i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1"/>
      <w:lvlJc w:val="left"/>
      <w:pPr>
        <w:tabs>
          <w:tab w:val="num" w:pos="0"/>
        </w:tabs>
        <w:ind w:left="360" w:hanging="360"/>
      </w:pPr>
      <w:rPr>
        <w:b w:val="false"/>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7">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8">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9">
    <w:lvl w:ilvl="0">
      <w:start w:val="1"/>
      <w:numFmt w:val="decimal"/>
      <w:lvlText w:val="2.%1"/>
      <w:lvlJc w:val="left"/>
      <w:pPr>
        <w:tabs>
          <w:tab w:val="num" w:pos="0"/>
        </w:tabs>
        <w:ind w:left="360" w:hanging="360"/>
      </w:pPr>
      <w:rPr>
        <w:b w:val="false"/>
        <w:bCs/>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0">
    <w:lvl w:ilvl="0">
      <w:start w:val="1"/>
      <w:numFmt w:val="lowerLetter"/>
      <w:lvlText w:val="%1."/>
      <w:lvlJc w:val="left"/>
      <w:pPr>
        <w:tabs>
          <w:tab w:val="num" w:pos="0"/>
        </w:tabs>
        <w:ind w:left="893" w:hanging="360"/>
      </w:pPr>
      <w:rPr>
        <w:rFonts w:cs="Times New Roman"/>
      </w:rPr>
    </w:lvl>
    <w:lvl w:ilvl="1">
      <w:start w:val="1"/>
      <w:numFmt w:val="lowerLetter"/>
      <w:lvlText w:val="%2."/>
      <w:lvlJc w:val="left"/>
      <w:pPr>
        <w:tabs>
          <w:tab w:val="num" w:pos="0"/>
        </w:tabs>
        <w:ind w:left="1613" w:hanging="360"/>
      </w:pPr>
      <w:rPr>
        <w:rFonts w:cs="Times New Roman"/>
      </w:rPr>
    </w:lvl>
    <w:lvl w:ilvl="2">
      <w:start w:val="1"/>
      <w:numFmt w:val="lowerRoman"/>
      <w:lvlText w:val="%3."/>
      <w:lvlJc w:val="right"/>
      <w:pPr>
        <w:tabs>
          <w:tab w:val="num" w:pos="0"/>
        </w:tabs>
        <w:ind w:left="2333" w:hanging="180"/>
      </w:pPr>
      <w:rPr>
        <w:rFonts w:cs="Times New Roman"/>
      </w:rPr>
    </w:lvl>
    <w:lvl w:ilvl="3">
      <w:start w:val="1"/>
      <w:numFmt w:val="decimal"/>
      <w:lvlText w:val="%4."/>
      <w:lvlJc w:val="left"/>
      <w:pPr>
        <w:tabs>
          <w:tab w:val="num" w:pos="0"/>
        </w:tabs>
        <w:ind w:left="3053" w:hanging="360"/>
      </w:pPr>
      <w:rPr>
        <w:rFonts w:cs="Times New Roman"/>
      </w:rPr>
    </w:lvl>
    <w:lvl w:ilvl="4">
      <w:start w:val="1"/>
      <w:numFmt w:val="lowerLetter"/>
      <w:lvlText w:val="%5."/>
      <w:lvlJc w:val="left"/>
      <w:pPr>
        <w:tabs>
          <w:tab w:val="num" w:pos="0"/>
        </w:tabs>
        <w:ind w:left="3773" w:hanging="360"/>
      </w:pPr>
      <w:rPr>
        <w:rFonts w:cs="Times New Roman"/>
      </w:rPr>
    </w:lvl>
    <w:lvl w:ilvl="5">
      <w:start w:val="1"/>
      <w:numFmt w:val="lowerRoman"/>
      <w:lvlText w:val="%6."/>
      <w:lvlJc w:val="right"/>
      <w:pPr>
        <w:tabs>
          <w:tab w:val="num" w:pos="0"/>
        </w:tabs>
        <w:ind w:left="4493" w:hanging="180"/>
      </w:pPr>
      <w:rPr>
        <w:rFonts w:cs="Times New Roman"/>
      </w:rPr>
    </w:lvl>
    <w:lvl w:ilvl="6">
      <w:start w:val="1"/>
      <w:numFmt w:val="decimal"/>
      <w:lvlText w:val="%7."/>
      <w:lvlJc w:val="left"/>
      <w:pPr>
        <w:tabs>
          <w:tab w:val="num" w:pos="0"/>
        </w:tabs>
        <w:ind w:left="5213" w:hanging="360"/>
      </w:pPr>
      <w:rPr>
        <w:rFonts w:cs="Times New Roman"/>
      </w:rPr>
    </w:lvl>
    <w:lvl w:ilvl="7">
      <w:start w:val="1"/>
      <w:numFmt w:val="lowerLetter"/>
      <w:lvlText w:val="%8."/>
      <w:lvlJc w:val="left"/>
      <w:pPr>
        <w:tabs>
          <w:tab w:val="num" w:pos="0"/>
        </w:tabs>
        <w:ind w:left="5933" w:hanging="360"/>
      </w:pPr>
      <w:rPr>
        <w:rFonts w:cs="Times New Roman"/>
      </w:rPr>
    </w:lvl>
    <w:lvl w:ilvl="8">
      <w:start w:val="1"/>
      <w:numFmt w:val="lowerRoman"/>
      <w:lvlText w:val="%9."/>
      <w:lvlJc w:val="right"/>
      <w:pPr>
        <w:tabs>
          <w:tab w:val="num" w:pos="0"/>
        </w:tabs>
        <w:ind w:left="6653" w:hanging="180"/>
      </w:pPr>
      <w:rPr>
        <w:rFonts w:cs="Times New Roman"/>
      </w:rPr>
    </w:lvl>
  </w:abstractNum>
  <w:abstractNum w:abstractNumId="11">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3">
    <w:lvl w:ilvl="0">
      <w:start w:val="1"/>
      <w:numFmt w:val="lowerLetter"/>
      <w:lvlText w:val="%1."/>
      <w:lvlJc w:val="left"/>
      <w:pPr>
        <w:tabs>
          <w:tab w:val="num" w:pos="0"/>
        </w:tabs>
        <w:ind w:left="720" w:hanging="360"/>
      </w:pPr>
      <w:rPr>
        <w:dstrike w:val="false"/>
        <w:strike w:val="false"/>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4">
    <w:lvl w:ilvl="0">
      <w:start w:val="1"/>
      <w:numFmt w:val="lowerRoman"/>
      <w:lvlText w:val="(%1)"/>
      <w:lvlJc w:val="left"/>
      <w:pPr>
        <w:tabs>
          <w:tab w:val="num" w:pos="0"/>
        </w:tabs>
        <w:ind w:left="720" w:hanging="360"/>
      </w:pPr>
      <w:rPr>
        <w:dstrike w:val="false"/>
        <w:strike w:val="false"/>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5">
    <w:lvl w:ilvl="0">
      <w:start w:val="1"/>
      <w:numFmt w:val="decimal"/>
      <w:lvlText w:val="3.%1"/>
      <w:lvlJc w:val="left"/>
      <w:pPr>
        <w:tabs>
          <w:tab w:val="num" w:pos="0"/>
        </w:tabs>
        <w:ind w:left="720" w:hanging="360"/>
      </w:pPr>
      <w:rPr>
        <w:sz w:val="24"/>
        <w:b/>
        <w:szCs w:val="24"/>
        <w:bCs/>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6">
    <w:lvl w:ilvl="0">
      <w:start w:val="1"/>
      <w:numFmt w:val="lowerRoman"/>
      <w:lvlText w:val="(%1)"/>
      <w:lvlJc w:val="left"/>
      <w:pPr>
        <w:tabs>
          <w:tab w:val="num" w:pos="0"/>
        </w:tabs>
        <w:ind w:left="1080" w:hanging="360"/>
      </w:pPr>
      <w:rPr>
        <w:rFonts w:cs="Times New Roman"/>
      </w:rPr>
    </w:lvl>
    <w:lvl w:ilvl="1">
      <w:start w:val="1"/>
      <w:numFmt w:val="lowerLetter"/>
      <w:lvlText w:val="%2."/>
      <w:lvlJc w:val="left"/>
      <w:pPr>
        <w:tabs>
          <w:tab w:val="num" w:pos="0"/>
        </w:tabs>
        <w:ind w:left="502"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7">
    <w:lvl w:ilvl="0">
      <w:start w:val="1"/>
      <w:numFmt w:val="decimal"/>
      <w:lvlText w:val="6.%1"/>
      <w:lvlJc w:val="left"/>
      <w:pPr>
        <w:tabs>
          <w:tab w:val="num" w:pos="0"/>
        </w:tabs>
        <w:ind w:left="540" w:hanging="360"/>
      </w:pPr>
      <w:rPr>
        <w:sz w:val="24"/>
        <w:i w:val="false"/>
        <w:b w:val="false"/>
        <w:szCs w:val="24"/>
      </w:rPr>
    </w:lvl>
    <w:lvl w:ilvl="1">
      <w:start w:val="1"/>
      <w:numFmt w:val="lowerLetter"/>
      <w:lvlText w:val="%2."/>
      <w:lvlJc w:val="left"/>
      <w:pPr>
        <w:tabs>
          <w:tab w:val="num" w:pos="0"/>
        </w:tabs>
        <w:ind w:left="1260" w:hanging="360"/>
      </w:pPr>
      <w:rPr/>
    </w:lvl>
    <w:lvl w:ilvl="2">
      <w:start w:val="1"/>
      <w:numFmt w:val="lowerRoman"/>
      <w:lvlText w:val="%3."/>
      <w:lvlJc w:val="right"/>
      <w:pPr>
        <w:tabs>
          <w:tab w:val="num" w:pos="0"/>
        </w:tabs>
        <w:ind w:left="1980" w:hanging="180"/>
      </w:pPr>
      <w:rPr/>
    </w:lvl>
    <w:lvl w:ilvl="3">
      <w:start w:val="1"/>
      <w:numFmt w:val="decimal"/>
      <w:lvlText w:val="%4."/>
      <w:lvlJc w:val="left"/>
      <w:pPr>
        <w:tabs>
          <w:tab w:val="num" w:pos="0"/>
        </w:tabs>
        <w:ind w:left="2700" w:hanging="360"/>
      </w:pPr>
      <w:rPr/>
    </w:lvl>
    <w:lvl w:ilvl="4">
      <w:start w:val="1"/>
      <w:numFmt w:val="lowerLetter"/>
      <w:lvlText w:val="%5."/>
      <w:lvlJc w:val="left"/>
      <w:pPr>
        <w:tabs>
          <w:tab w:val="num" w:pos="0"/>
        </w:tabs>
        <w:ind w:left="3420" w:hanging="360"/>
      </w:pPr>
      <w:rPr/>
    </w:lvl>
    <w:lvl w:ilvl="5">
      <w:start w:val="1"/>
      <w:numFmt w:val="lowerRoman"/>
      <w:lvlText w:val="%6."/>
      <w:lvlJc w:val="right"/>
      <w:pPr>
        <w:tabs>
          <w:tab w:val="num" w:pos="0"/>
        </w:tabs>
        <w:ind w:left="4140" w:hanging="180"/>
      </w:pPr>
      <w:rPr/>
    </w:lvl>
    <w:lvl w:ilvl="6">
      <w:start w:val="1"/>
      <w:numFmt w:val="decimal"/>
      <w:lvlText w:val="%7."/>
      <w:lvlJc w:val="left"/>
      <w:pPr>
        <w:tabs>
          <w:tab w:val="num" w:pos="0"/>
        </w:tabs>
        <w:ind w:left="4860" w:hanging="360"/>
      </w:pPr>
      <w:rPr/>
    </w:lvl>
    <w:lvl w:ilvl="7">
      <w:start w:val="1"/>
      <w:numFmt w:val="lowerLetter"/>
      <w:lvlText w:val="%8."/>
      <w:lvlJc w:val="left"/>
      <w:pPr>
        <w:tabs>
          <w:tab w:val="num" w:pos="0"/>
        </w:tabs>
        <w:ind w:left="5580" w:hanging="360"/>
      </w:pPr>
      <w:rPr/>
    </w:lvl>
    <w:lvl w:ilvl="8">
      <w:start w:val="1"/>
      <w:numFmt w:val="lowerRoman"/>
      <w:lvlText w:val="%9."/>
      <w:lvlJc w:val="right"/>
      <w:pPr>
        <w:tabs>
          <w:tab w:val="num" w:pos="0"/>
        </w:tabs>
        <w:ind w:left="6300" w:hanging="180"/>
      </w:pPr>
      <w:rPr/>
    </w:lvl>
  </w:abstractNum>
  <w:abstractNum w:abstractNumId="18">
    <w:lvl w:ilvl="0">
      <w:start w:val="1"/>
      <w:numFmt w:val="decimal"/>
      <w:lvlText w:val="5.%1"/>
      <w:lvlJc w:val="left"/>
      <w:pPr>
        <w:tabs>
          <w:tab w:val="num" w:pos="0"/>
        </w:tabs>
        <w:ind w:left="360" w:hanging="360"/>
      </w:pPr>
      <w:rPr>
        <w:sz w:val="24"/>
        <w:i w:val="false"/>
        <w:b/>
        <w:szCs w:val="24"/>
        <w:bCs/>
      </w:rPr>
    </w:lvl>
    <w:lvl w:ilvl="1">
      <w:start w:val="1"/>
      <w:isLgl/>
      <w:numFmt w:val="decimal"/>
      <w:lvlText w:val="%1.%2."/>
      <w:lvlJc w:val="left"/>
      <w:pPr>
        <w:tabs>
          <w:tab w:val="num" w:pos="0"/>
        </w:tabs>
        <w:ind w:left="360" w:hanging="360"/>
      </w:pPr>
      <w:rPr/>
    </w:lvl>
    <w:lvl w:ilvl="2">
      <w:start w:val="1"/>
      <w:isLgl/>
      <w:numFmt w:val="decimal"/>
      <w:lvlText w:val="%1.%2.%3."/>
      <w:lvlJc w:val="left"/>
      <w:pPr>
        <w:tabs>
          <w:tab w:val="num" w:pos="0"/>
        </w:tabs>
        <w:ind w:left="720" w:hanging="720"/>
      </w:pPr>
      <w:rPr/>
    </w:lvl>
    <w:lvl w:ilvl="3">
      <w:start w:val="1"/>
      <w:isLgl/>
      <w:numFmt w:val="decimal"/>
      <w:lvlText w:val="%1.%2.%3.%4."/>
      <w:lvlJc w:val="left"/>
      <w:pPr>
        <w:tabs>
          <w:tab w:val="num" w:pos="0"/>
        </w:tabs>
        <w:ind w:left="720" w:hanging="720"/>
      </w:pPr>
      <w:rPr/>
    </w:lvl>
    <w:lvl w:ilvl="4">
      <w:start w:val="1"/>
      <w:isLgl/>
      <w:numFmt w:val="decimal"/>
      <w:lvlText w:val="%1.%2.%3.%4.%5."/>
      <w:lvlJc w:val="left"/>
      <w:pPr>
        <w:tabs>
          <w:tab w:val="num" w:pos="0"/>
        </w:tabs>
        <w:ind w:left="1080" w:hanging="1080"/>
      </w:pPr>
      <w:rPr/>
    </w:lvl>
    <w:lvl w:ilvl="5">
      <w:start w:val="1"/>
      <w:isLgl/>
      <w:numFmt w:val="decimal"/>
      <w:lvlText w:val="%1.%2.%3.%4.%5.%6."/>
      <w:lvlJc w:val="left"/>
      <w:pPr>
        <w:tabs>
          <w:tab w:val="num" w:pos="0"/>
        </w:tabs>
        <w:ind w:left="1080" w:hanging="1080"/>
      </w:pPr>
      <w:rPr/>
    </w:lvl>
    <w:lvl w:ilvl="6">
      <w:start w:val="1"/>
      <w:isLgl/>
      <w:numFmt w:val="decimal"/>
      <w:lvlText w:val="%1.%2.%3.%4.%5.%6.%7."/>
      <w:lvlJc w:val="left"/>
      <w:pPr>
        <w:tabs>
          <w:tab w:val="num" w:pos="0"/>
        </w:tabs>
        <w:ind w:left="1440" w:hanging="1440"/>
      </w:pPr>
      <w:rPr/>
    </w:lvl>
    <w:lvl w:ilvl="7">
      <w:start w:val="1"/>
      <w:isLgl/>
      <w:numFmt w:val="decimal"/>
      <w:lvlText w:val="%1.%2.%3.%4.%5.%6.%7.%8."/>
      <w:lvlJc w:val="left"/>
      <w:pPr>
        <w:tabs>
          <w:tab w:val="num" w:pos="0"/>
        </w:tabs>
        <w:ind w:left="1440" w:hanging="1440"/>
      </w:pPr>
      <w:rPr/>
    </w:lvl>
    <w:lvl w:ilvl="8">
      <w:start w:val="1"/>
      <w:isLgl/>
      <w:numFmt w:val="decimal"/>
      <w:lvlText w:val="%1.%2.%3.%4.%5.%6.%7.%8.%9."/>
      <w:lvlJc w:val="left"/>
      <w:pPr>
        <w:tabs>
          <w:tab w:val="num" w:pos="0"/>
        </w:tabs>
        <w:ind w:left="1800" w:hanging="1800"/>
      </w:pPr>
      <w:rPr/>
    </w:lvl>
  </w:abstractNum>
  <w:abstractNum w:abstractNumId="19">
    <w:lvl w:ilvl="0">
      <w:start w:val="1"/>
      <w:numFmt w:val="lowerRoman"/>
      <w:lvlText w:val="(%1)"/>
      <w:lvlJc w:val="left"/>
      <w:pPr>
        <w:tabs>
          <w:tab w:val="num" w:pos="0"/>
        </w:tabs>
        <w:ind w:left="1440" w:hanging="72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20">
    <w:lvl w:ilvl="0">
      <w:start w:val="1"/>
      <w:numFmt w:val="lowerLetter"/>
      <w:lvlText w:val="%1."/>
      <w:lvlJc w:val="left"/>
      <w:pPr>
        <w:tabs>
          <w:tab w:val="num" w:pos="0"/>
        </w:tabs>
        <w:ind w:left="720" w:hanging="360"/>
      </w:pPr>
      <w:rPr>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1">
    <w:lvl w:ilvl="0">
      <w:start w:val="1"/>
      <w:numFmt w:val="decimal"/>
      <w:lvlText w:val="7.%1"/>
      <w:lvlJc w:val="left"/>
      <w:pPr>
        <w:tabs>
          <w:tab w:val="num" w:pos="0"/>
        </w:tabs>
        <w:ind w:left="720" w:hanging="360"/>
      </w:pPr>
      <w:rPr>
        <w:u w:val="none"/>
        <w:b w:val="fals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2">
    <w:lvl w:ilvl="0">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2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lvl w:ilvl="0">
      <w:start w:val="1"/>
      <w:numFmt w:val="bullet"/>
      <w:lvlText w:val=""/>
      <w:lvlJc w:val="left"/>
      <w:pPr>
        <w:tabs>
          <w:tab w:val="num" w:pos="720"/>
        </w:tabs>
        <w:ind w:left="720" w:hanging="360"/>
      </w:pPr>
      <w:rPr>
        <w:rFonts w:ascii="Symbol" w:hAnsi="Symbol" w:cs="Symbol" w:hint="default"/>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5">
    <w:lvl w:ilvl="0">
      <w:start w:val="1"/>
      <w:numFmt w:val="lowerRoman"/>
      <w:lvlText w:val="%1)"/>
      <w:lvlJc w:val="right"/>
      <w:pPr>
        <w:tabs>
          <w:tab w:val="num" w:pos="0"/>
        </w:tabs>
        <w:ind w:left="1287" w:hanging="360"/>
      </w:pPr>
      <w:rPr/>
    </w:lvl>
    <w:lvl w:ilvl="1">
      <w:start w:val="1"/>
      <w:numFmt w:val="lowerLetter"/>
      <w:lvlText w:val="%2."/>
      <w:lvlJc w:val="left"/>
      <w:pPr>
        <w:tabs>
          <w:tab w:val="num" w:pos="0"/>
        </w:tabs>
        <w:ind w:left="2007" w:hanging="360"/>
      </w:pPr>
      <w:rPr/>
    </w:lvl>
    <w:lvl w:ilvl="2">
      <w:start w:val="1"/>
      <w:numFmt w:val="lowerRoman"/>
      <w:lvlText w:val="(%3)"/>
      <w:lvlJc w:val="left"/>
      <w:pPr>
        <w:tabs>
          <w:tab w:val="num" w:pos="0"/>
        </w:tabs>
        <w:ind w:left="2907" w:hanging="360"/>
      </w:pPr>
      <w:rPr>
        <w:rFonts w:ascii="Times New Roman" w:hAnsi="Times New Roman" w:eastAsia="Batang" w:cs="Times New Roman"/>
      </w:rPr>
    </w:lvl>
    <w:lvl w:ilvl="3">
      <w:start w:val="1"/>
      <w:numFmt w:val="decimal"/>
      <w:lvlText w:val="%4."/>
      <w:lvlJc w:val="left"/>
      <w:pPr>
        <w:tabs>
          <w:tab w:val="num" w:pos="0"/>
        </w:tabs>
        <w:ind w:left="3447" w:hanging="360"/>
      </w:pPr>
      <w:rPr/>
    </w:lvl>
    <w:lvl w:ilvl="4">
      <w:start w:val="1"/>
      <w:numFmt w:val="lowerLetter"/>
      <w:lvlText w:val="%5."/>
      <w:lvlJc w:val="left"/>
      <w:pPr>
        <w:tabs>
          <w:tab w:val="num" w:pos="0"/>
        </w:tabs>
        <w:ind w:left="4167" w:hanging="360"/>
      </w:pPr>
      <w:rPr/>
    </w:lvl>
    <w:lvl w:ilvl="5">
      <w:start w:val="1"/>
      <w:numFmt w:val="lowerRoman"/>
      <w:lvlText w:val="%6."/>
      <w:lvlJc w:val="right"/>
      <w:pPr>
        <w:tabs>
          <w:tab w:val="num" w:pos="0"/>
        </w:tabs>
        <w:ind w:left="4887" w:hanging="180"/>
      </w:pPr>
      <w:rPr/>
    </w:lvl>
    <w:lvl w:ilvl="6">
      <w:start w:val="1"/>
      <w:numFmt w:val="decimal"/>
      <w:lvlText w:val="%7."/>
      <w:lvlJc w:val="left"/>
      <w:pPr>
        <w:tabs>
          <w:tab w:val="num" w:pos="0"/>
        </w:tabs>
        <w:ind w:left="5607" w:hanging="360"/>
      </w:pPr>
      <w:rPr/>
    </w:lvl>
    <w:lvl w:ilvl="7">
      <w:start w:val="1"/>
      <w:numFmt w:val="lowerLetter"/>
      <w:lvlText w:val="%8."/>
      <w:lvlJc w:val="left"/>
      <w:pPr>
        <w:tabs>
          <w:tab w:val="num" w:pos="0"/>
        </w:tabs>
        <w:ind w:left="6327" w:hanging="360"/>
      </w:pPr>
      <w:rPr/>
    </w:lvl>
    <w:lvl w:ilvl="8">
      <w:start w:val="1"/>
      <w:numFmt w:val="lowerRoman"/>
      <w:lvlText w:val="%9."/>
      <w:lvlJc w:val="right"/>
      <w:pPr>
        <w:tabs>
          <w:tab w:val="num" w:pos="0"/>
        </w:tabs>
        <w:ind w:left="7047" w:hanging="180"/>
      </w:pPr>
      <w:rPr/>
    </w:lvl>
  </w:abstractNum>
  <w:abstractNum w:abstractNumId="26">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800" w:hanging="72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w="http://schemas.openxmlformats.org/wordprocessingml/2006/main">
  <w:zoom w:percent="120"/>
  <w:embedSystemFonts/>
  <w:defaultTabStop w:val="720"/>
  <w:autoHyphenation w:val="true"/>
  <w:hyphenationZone w:val="0"/>
  <w:footnotePr>
    <w:numFmt w:val="decimal"/>
    <w:footnote w:id="0"/>
    <w:footnote w:id="1"/>
  </w:foot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
    <w:name w:val="Footnote Characters"/>
    <w:uiPriority w:val="99"/>
    <w:qFormat/>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character" w:styleId="EndnoteCharactersuser">
    <w:name w:val="Endnote Characters (user)"/>
    <w:qFormat/>
    <w:rPr>
      <w:vertAlign w:val="superscript"/>
    </w:rPr>
  </w:style>
  <w:style w:type="character" w:styleId="EndnoteCharacters">
    <w:name w:val="Endnote Characters"/>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PHULUC" w:customStyle="1">
    <w:name w:val="PHU LUC"/>
    <w:basedOn w:val="Normal"/>
    <w:qFormat/>
    <w:rsid w:val="00806cbb"/>
    <w:pPr>
      <w:spacing w:lineRule="auto" w:line="240" w:before="0" w:after="0"/>
      <w:jc w:val="center"/>
    </w:pPr>
    <w:rPr>
      <w:rFonts w:ascii="Times New Roman" w:hAnsi="Times New Roman"/>
      <w:b/>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footer" Target="footer6.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Relationship Id="rId14" Type="http://schemas.openxmlformats.org/officeDocument/2006/relationships/header" Target="header1.xml"/></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TotalTime>
  <Application>LibreOffice/25.2.7.2$Linux_X86_64 LibreOffice_project/520$Build-2</Application>
  <AppVersion>15.0000</AppVersion>
  <Pages>3</Pages>
  <Words>6531</Words>
  <Characters>23659</Characters>
  <CharactersWithSpaces>30030</CharactersWithSpaces>
  <Paragraphs>222</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2025-12-26T04:15:00Z</dcterms:created>
  <dc:creator>Hiền 05 BPC</dc:creator>
  <dc:description/>
  <dc:language>en-US</dc:language>
  <cp:lastModifiedBy/>
  <cp:lastPrinted>2025-12-30T04:31:00Z</cp:lastPrinted>
  <dcterms:modified xsi:type="dcterms:W3CDTF">2026-01-07T23:20:38Z</dcterms:modified>
  <cp:revision>102</cp:revision>
  <dc:subject/>
  <dc:title/>
</cp:coreProperties>
</file>

<file path=docProps/custom.xml><?xml version="1.0" encoding="utf-8"?>
<Properties xmlns="http://schemas.openxmlformats.org/officeDocument/2006/custom-properties" xmlns:vt="http://schemas.openxmlformats.org/officeDocument/2006/docPropsVTypes"/>
</file>